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A9F09" w14:textId="2C61A9FD" w:rsidR="003631E0" w:rsidRPr="00CE290E" w:rsidRDefault="003631E0" w:rsidP="00040BAD">
      <w:pPr>
        <w:pStyle w:val="MH1nonumb"/>
        <w:spacing w:after="240"/>
      </w:pPr>
      <w:r w:rsidRPr="00CE290E">
        <w:t xml:space="preserve">EXECUTIVE SUMMARY – INVESTORS’ </w:t>
      </w:r>
      <w:r w:rsidR="00F020DB" w:rsidRPr="00CE290E">
        <w:t xml:space="preserve">CITIZENSHIP AND </w:t>
      </w:r>
      <w:r w:rsidRPr="00CE290E">
        <w:t xml:space="preserve">RESIDENCE SCHEMES IN </w:t>
      </w:r>
      <w:r w:rsidR="00337204">
        <w:t>BULGARIA</w:t>
      </w:r>
    </w:p>
    <w:p w14:paraId="250ADB09" w14:textId="27BE9FCA" w:rsidR="00544A72" w:rsidRPr="00337204" w:rsidRDefault="00C20061" w:rsidP="00337204">
      <w:pPr>
        <w:spacing w:after="0" w:line="240" w:lineRule="auto"/>
        <w:jc w:val="both"/>
        <w:outlineLvl w:val="0"/>
        <w:rPr>
          <w:b/>
          <w:i/>
          <w:sz w:val="22"/>
          <w:szCs w:val="22"/>
        </w:rPr>
      </w:pPr>
      <w:r w:rsidRPr="00337204">
        <w:rPr>
          <w:b/>
          <w:i/>
          <w:sz w:val="22"/>
          <w:szCs w:val="22"/>
        </w:rPr>
        <w:t>General background</w:t>
      </w:r>
    </w:p>
    <w:p w14:paraId="627D35C5" w14:textId="7884AF9D" w:rsidR="0043070B" w:rsidRPr="00337204" w:rsidRDefault="0043070B" w:rsidP="00337204">
      <w:pPr>
        <w:pStyle w:val="MMultilevel"/>
        <w:numPr>
          <w:ilvl w:val="0"/>
          <w:numId w:val="0"/>
        </w:numPr>
        <w:ind w:left="425" w:hanging="425"/>
        <w:rPr>
          <w:i/>
          <w:lang w:val="en-GB"/>
        </w:rPr>
      </w:pPr>
    </w:p>
    <w:p w14:paraId="2CDB00A7" w14:textId="15B03E53" w:rsidR="00D907E1" w:rsidRPr="00D907E1" w:rsidRDefault="003855DE" w:rsidP="00D907E1">
      <w:pPr>
        <w:spacing w:after="0" w:line="240" w:lineRule="auto"/>
        <w:jc w:val="both"/>
        <w:rPr>
          <w:sz w:val="22"/>
          <w:szCs w:val="22"/>
        </w:rPr>
      </w:pPr>
      <w:r w:rsidRPr="00337204">
        <w:rPr>
          <w:rStyle w:val="notranslate"/>
          <w:sz w:val="22"/>
          <w:szCs w:val="22"/>
        </w:rPr>
        <w:t xml:space="preserve">Investors’ </w:t>
      </w:r>
      <w:r>
        <w:rPr>
          <w:rStyle w:val="notranslate"/>
          <w:sz w:val="22"/>
          <w:szCs w:val="22"/>
        </w:rPr>
        <w:t>schemes granting</w:t>
      </w:r>
      <w:r w:rsidR="00337204">
        <w:rPr>
          <w:rStyle w:val="notranslate"/>
          <w:sz w:val="22"/>
          <w:szCs w:val="22"/>
        </w:rPr>
        <w:t xml:space="preserve"> </w:t>
      </w:r>
      <w:r>
        <w:rPr>
          <w:rStyle w:val="notranslate"/>
          <w:sz w:val="22"/>
          <w:szCs w:val="22"/>
        </w:rPr>
        <w:t>residence</w:t>
      </w:r>
      <w:r w:rsidR="009A0565">
        <w:rPr>
          <w:rStyle w:val="notranslate"/>
          <w:sz w:val="22"/>
          <w:szCs w:val="22"/>
        </w:rPr>
        <w:t xml:space="preserve"> </w:t>
      </w:r>
      <w:r w:rsidR="00337204">
        <w:rPr>
          <w:rStyle w:val="notranslate"/>
          <w:sz w:val="22"/>
          <w:szCs w:val="22"/>
        </w:rPr>
        <w:t xml:space="preserve">and citizenship </w:t>
      </w:r>
      <w:r>
        <w:rPr>
          <w:rStyle w:val="notranslate"/>
          <w:sz w:val="22"/>
          <w:szCs w:val="22"/>
        </w:rPr>
        <w:t>to third-country nationals investing in Bulgaria were first introduced in the Bulgarian legislation in 2005. Since then, the investors’ schemes have been further developed by introducing amendments to the relevant legislation in 2009, 2013 and 2015.</w:t>
      </w:r>
      <w:r>
        <w:rPr>
          <w:sz w:val="22"/>
          <w:szCs w:val="22"/>
        </w:rPr>
        <w:t xml:space="preserve"> </w:t>
      </w:r>
      <w:r w:rsidR="00C843A5">
        <w:rPr>
          <w:sz w:val="22"/>
          <w:szCs w:val="22"/>
        </w:rPr>
        <w:t>However, t</w:t>
      </w:r>
      <w:r w:rsidR="00C843A5" w:rsidRPr="00D907E1">
        <w:rPr>
          <w:sz w:val="22"/>
          <w:szCs w:val="22"/>
        </w:rPr>
        <w:t xml:space="preserve">here </w:t>
      </w:r>
      <w:r w:rsidR="00D907E1" w:rsidRPr="00D907E1">
        <w:rPr>
          <w:sz w:val="22"/>
          <w:szCs w:val="22"/>
        </w:rPr>
        <w:t>is no public information available as to what prompted these amendments</w:t>
      </w:r>
      <w:r w:rsidR="00C843A5">
        <w:rPr>
          <w:sz w:val="22"/>
          <w:szCs w:val="22"/>
        </w:rPr>
        <w:t xml:space="preserve"> as</w:t>
      </w:r>
      <w:r w:rsidR="00D907E1" w:rsidRPr="00D907E1">
        <w:rPr>
          <w:sz w:val="22"/>
          <w:szCs w:val="22"/>
        </w:rPr>
        <w:t xml:space="preserve"> </w:t>
      </w:r>
      <w:r w:rsidR="00C843A5">
        <w:rPr>
          <w:sz w:val="22"/>
          <w:szCs w:val="22"/>
        </w:rPr>
        <w:t>t</w:t>
      </w:r>
      <w:r w:rsidR="00C843A5" w:rsidRPr="00D907E1">
        <w:rPr>
          <w:sz w:val="22"/>
          <w:szCs w:val="22"/>
        </w:rPr>
        <w:t xml:space="preserve">here </w:t>
      </w:r>
      <w:r w:rsidR="00D907E1" w:rsidRPr="00D907E1">
        <w:rPr>
          <w:sz w:val="22"/>
          <w:szCs w:val="22"/>
        </w:rPr>
        <w:t>was no public debate at the time when the legal changes were adopted</w:t>
      </w:r>
      <w:r w:rsidR="00B6730B">
        <w:rPr>
          <w:sz w:val="22"/>
          <w:szCs w:val="22"/>
        </w:rPr>
        <w:t>.</w:t>
      </w:r>
      <w:r w:rsidR="00D907E1" w:rsidRPr="00D907E1">
        <w:rPr>
          <w:sz w:val="22"/>
          <w:szCs w:val="22"/>
          <w:vertAlign w:val="superscript"/>
        </w:rPr>
        <w:footnoteReference w:id="1"/>
      </w:r>
      <w:r w:rsidR="00D907E1" w:rsidRPr="00D907E1">
        <w:rPr>
          <w:sz w:val="22"/>
          <w:szCs w:val="22"/>
        </w:rPr>
        <w:t xml:space="preserve"> The most probable reasons for the introduction of these changes are attracting potential investors and promoting economic activity in economically disadvantaged regions. </w:t>
      </w:r>
    </w:p>
    <w:p w14:paraId="0EB4101E" w14:textId="77777777" w:rsidR="00D907E1" w:rsidRDefault="00D907E1" w:rsidP="00337204">
      <w:pPr>
        <w:spacing w:after="0" w:line="240" w:lineRule="auto"/>
        <w:jc w:val="both"/>
        <w:rPr>
          <w:sz w:val="22"/>
          <w:szCs w:val="22"/>
        </w:rPr>
      </w:pPr>
    </w:p>
    <w:p w14:paraId="1406DBA9" w14:textId="543EDD5E" w:rsidR="003855DE" w:rsidRDefault="003855DE" w:rsidP="00337204">
      <w:pPr>
        <w:spacing w:after="0" w:line="240" w:lineRule="auto"/>
        <w:jc w:val="both"/>
        <w:rPr>
          <w:lang w:eastAsia="en-GB"/>
        </w:rPr>
      </w:pPr>
      <w:r w:rsidRPr="003855DE">
        <w:rPr>
          <w:sz w:val="22"/>
        </w:rPr>
        <w:t>The main legal acts establishing and regulating the investors’ residence and citizenship schemes in the Republic of Bulgaria are the</w:t>
      </w:r>
      <w:r w:rsidRPr="003855DE">
        <w:rPr>
          <w:sz w:val="22"/>
          <w:lang w:eastAsia="en-GB"/>
        </w:rPr>
        <w:t xml:space="preserve"> </w:t>
      </w:r>
      <w:r w:rsidR="001C1EC2">
        <w:rPr>
          <w:rStyle w:val="notranslate"/>
          <w:sz w:val="22"/>
          <w:szCs w:val="22"/>
        </w:rPr>
        <w:t>Bulgarian Citizenship Act</w:t>
      </w:r>
      <w:r w:rsidR="001C1EC2">
        <w:rPr>
          <w:rStyle w:val="FootnoteReference"/>
        </w:rPr>
        <w:footnoteReference w:id="2"/>
      </w:r>
      <w:r w:rsidR="001C1EC2">
        <w:rPr>
          <w:rStyle w:val="notranslate"/>
          <w:sz w:val="22"/>
          <w:szCs w:val="22"/>
        </w:rPr>
        <w:t xml:space="preserve"> (BCA) and the </w:t>
      </w:r>
      <w:r w:rsidRPr="003855DE">
        <w:rPr>
          <w:sz w:val="22"/>
          <w:lang w:eastAsia="en-GB"/>
        </w:rPr>
        <w:t>Foreign Nationals Act of the Republic of Bulgaria</w:t>
      </w:r>
      <w:r w:rsidR="00B6730B" w:rsidRPr="003855DE">
        <w:rPr>
          <w:rStyle w:val="FootnoteReference"/>
          <w:sz w:val="22"/>
        </w:rPr>
        <w:footnoteReference w:id="3"/>
      </w:r>
      <w:r w:rsidRPr="003855DE">
        <w:rPr>
          <w:sz w:val="22"/>
          <w:lang w:eastAsia="en-GB"/>
        </w:rPr>
        <w:t xml:space="preserve"> (FNA)</w:t>
      </w:r>
      <w:r w:rsidR="00496156">
        <w:rPr>
          <w:lang w:eastAsia="en-GB"/>
        </w:rPr>
        <w:t>,</w:t>
      </w:r>
      <w:r w:rsidR="00496156" w:rsidRPr="00496156">
        <w:rPr>
          <w:sz w:val="22"/>
          <w:lang w:eastAsia="en-GB"/>
        </w:rPr>
        <w:t xml:space="preserve"> and the secondary legislation on their implementation. </w:t>
      </w:r>
    </w:p>
    <w:p w14:paraId="2EB0E014" w14:textId="77777777" w:rsidR="00337204" w:rsidRDefault="00337204" w:rsidP="00337204">
      <w:pPr>
        <w:spacing w:after="0" w:line="240" w:lineRule="auto"/>
        <w:jc w:val="both"/>
        <w:rPr>
          <w:sz w:val="22"/>
          <w:szCs w:val="22"/>
          <w:lang w:val="en-US" w:eastAsia="en-GB"/>
        </w:rPr>
      </w:pPr>
    </w:p>
    <w:p w14:paraId="6392C5C8" w14:textId="16951510" w:rsidR="00EA548B" w:rsidRPr="00EA548B" w:rsidRDefault="00EA548B" w:rsidP="00337204">
      <w:pPr>
        <w:spacing w:after="0" w:line="240" w:lineRule="auto"/>
        <w:jc w:val="both"/>
        <w:rPr>
          <w:sz w:val="22"/>
          <w:szCs w:val="22"/>
          <w:lang w:val="en-US" w:eastAsia="en-GB"/>
        </w:rPr>
      </w:pPr>
      <w:r>
        <w:rPr>
          <w:sz w:val="22"/>
          <w:szCs w:val="22"/>
          <w:lang w:val="en-US" w:eastAsia="en-GB"/>
        </w:rPr>
        <w:t xml:space="preserve">The main </w:t>
      </w:r>
      <w:r w:rsidRPr="00BD3053">
        <w:rPr>
          <w:b/>
          <w:sz w:val="22"/>
          <w:szCs w:val="22"/>
          <w:lang w:val="en-US" w:eastAsia="en-GB"/>
        </w:rPr>
        <w:t>competent authority</w:t>
      </w:r>
      <w:r>
        <w:rPr>
          <w:sz w:val="22"/>
          <w:szCs w:val="22"/>
          <w:lang w:val="en-US" w:eastAsia="en-GB"/>
        </w:rPr>
        <w:t xml:space="preserve"> under the investors’ </w:t>
      </w:r>
      <w:r w:rsidRPr="00BD3053">
        <w:rPr>
          <w:b/>
          <w:sz w:val="22"/>
          <w:szCs w:val="22"/>
          <w:lang w:val="en-US" w:eastAsia="en-GB"/>
        </w:rPr>
        <w:t>residence</w:t>
      </w:r>
      <w:r>
        <w:rPr>
          <w:sz w:val="22"/>
          <w:szCs w:val="22"/>
          <w:lang w:val="en-US" w:eastAsia="en-GB"/>
        </w:rPr>
        <w:t xml:space="preserve"> scheme is the Ministry of Interior, and more specifically, its </w:t>
      </w:r>
      <w:r w:rsidRPr="00EA548B">
        <w:rPr>
          <w:b/>
          <w:sz w:val="22"/>
          <w:szCs w:val="22"/>
          <w:lang w:val="en-US" w:eastAsia="en-GB"/>
        </w:rPr>
        <w:t>Migration Directorate</w:t>
      </w:r>
      <w:r>
        <w:rPr>
          <w:sz w:val="22"/>
          <w:szCs w:val="22"/>
          <w:lang w:val="en-US" w:eastAsia="en-GB"/>
        </w:rPr>
        <w:t xml:space="preserve">. </w:t>
      </w:r>
      <w:r w:rsidR="00A659EF" w:rsidRPr="00A659EF">
        <w:rPr>
          <w:sz w:val="22"/>
          <w:szCs w:val="22"/>
          <w:lang w:val="en-US" w:eastAsia="en-GB"/>
        </w:rPr>
        <w:t>Granting citizenship to third-country nationals is a decision of significance and, thus, it entails the work of multiple bodies:</w:t>
      </w:r>
      <w:r>
        <w:rPr>
          <w:sz w:val="22"/>
          <w:szCs w:val="22"/>
          <w:lang w:val="en-US" w:eastAsia="en-GB"/>
        </w:rPr>
        <w:t xml:space="preserve"> the decision-makers are the </w:t>
      </w:r>
      <w:r w:rsidRPr="00EA548B">
        <w:rPr>
          <w:b/>
          <w:sz w:val="22"/>
          <w:szCs w:val="22"/>
          <w:lang w:val="en-US" w:eastAsia="en-GB"/>
        </w:rPr>
        <w:t>Minister of Justice</w:t>
      </w:r>
      <w:r>
        <w:rPr>
          <w:sz w:val="22"/>
          <w:szCs w:val="22"/>
          <w:lang w:val="en-US" w:eastAsia="en-GB"/>
        </w:rPr>
        <w:t xml:space="preserve">, who is in charge of </w:t>
      </w:r>
      <w:r w:rsidRPr="00EA548B">
        <w:rPr>
          <w:sz w:val="22"/>
          <w:shd w:val="clear" w:color="auto" w:fill="FFFFFF"/>
        </w:rPr>
        <w:t xml:space="preserve">making a proposal to the </w:t>
      </w:r>
      <w:r w:rsidRPr="00EA548B">
        <w:rPr>
          <w:b/>
          <w:sz w:val="22"/>
          <w:shd w:val="clear" w:color="auto" w:fill="FFFFFF"/>
        </w:rPr>
        <w:t>President of the Republic of Bulgaria</w:t>
      </w:r>
      <w:r w:rsidRPr="00EA548B">
        <w:rPr>
          <w:sz w:val="22"/>
          <w:shd w:val="clear" w:color="auto" w:fill="FFFFFF"/>
        </w:rPr>
        <w:t xml:space="preserve"> to issue a decree on the acquisition of Bulgarian citizenship</w:t>
      </w:r>
      <w:r>
        <w:rPr>
          <w:sz w:val="22"/>
          <w:shd w:val="clear" w:color="auto" w:fill="FFFFFF"/>
        </w:rPr>
        <w:t xml:space="preserve">. The President may choose to issue or </w:t>
      </w:r>
      <w:r w:rsidR="001C1EC2">
        <w:rPr>
          <w:sz w:val="22"/>
          <w:shd w:val="clear" w:color="auto" w:fill="FFFFFF"/>
        </w:rPr>
        <w:t>not th</w:t>
      </w:r>
      <w:r>
        <w:rPr>
          <w:sz w:val="22"/>
          <w:shd w:val="clear" w:color="auto" w:fill="FFFFFF"/>
        </w:rPr>
        <w:t xml:space="preserve">e said decree. </w:t>
      </w:r>
      <w:r w:rsidR="001C1EC2" w:rsidRPr="00EA548B">
        <w:rPr>
          <w:sz w:val="22"/>
          <w:szCs w:val="22"/>
          <w:lang w:val="en-US" w:eastAsia="en-GB"/>
        </w:rPr>
        <w:t>Th</w:t>
      </w:r>
      <w:r w:rsidR="001C1EC2">
        <w:rPr>
          <w:sz w:val="22"/>
          <w:szCs w:val="22"/>
          <w:lang w:val="en-US" w:eastAsia="en-GB"/>
        </w:rPr>
        <w:t>e decision-making</w:t>
      </w:r>
      <w:r w:rsidR="001C1EC2" w:rsidRPr="00EA548B">
        <w:rPr>
          <w:sz w:val="22"/>
          <w:szCs w:val="22"/>
          <w:lang w:val="en-US" w:eastAsia="en-GB"/>
        </w:rPr>
        <w:t xml:space="preserve"> </w:t>
      </w:r>
      <w:r w:rsidRPr="00EA548B">
        <w:rPr>
          <w:sz w:val="22"/>
          <w:szCs w:val="22"/>
          <w:lang w:val="en-US" w:eastAsia="en-GB"/>
        </w:rPr>
        <w:t xml:space="preserve">authorities are supported by the work of several administrative structures: </w:t>
      </w:r>
      <w:r w:rsidR="001C1EC2">
        <w:rPr>
          <w:sz w:val="22"/>
          <w:szCs w:val="22"/>
          <w:lang w:val="en-US" w:eastAsia="en-GB"/>
        </w:rPr>
        <w:t xml:space="preserve">(a) within the Ministry of Justice: </w:t>
      </w:r>
      <w:bookmarkStart w:id="0" w:name="_Hlk515290413"/>
      <w:r w:rsidR="001C1EC2">
        <w:rPr>
          <w:sz w:val="22"/>
          <w:szCs w:val="22"/>
          <w:shd w:val="clear" w:color="auto" w:fill="FFFFFF"/>
        </w:rPr>
        <w:t>t</w:t>
      </w:r>
      <w:r w:rsidR="001C1EC2" w:rsidRPr="00EA548B">
        <w:rPr>
          <w:sz w:val="22"/>
          <w:szCs w:val="22"/>
          <w:shd w:val="clear" w:color="auto" w:fill="FFFFFF"/>
        </w:rPr>
        <w:t>he</w:t>
      </w:r>
      <w:r w:rsidR="001C1EC2">
        <w:rPr>
          <w:sz w:val="22"/>
          <w:szCs w:val="22"/>
          <w:shd w:val="clear" w:color="auto" w:fill="FFFFFF"/>
        </w:rPr>
        <w:t xml:space="preserve"> specialised</w:t>
      </w:r>
      <w:r w:rsidR="001C1EC2" w:rsidRPr="00EA548B">
        <w:rPr>
          <w:sz w:val="22"/>
          <w:szCs w:val="22"/>
          <w:shd w:val="clear" w:color="auto" w:fill="FFFFFF"/>
        </w:rPr>
        <w:t xml:space="preserve"> </w:t>
      </w:r>
      <w:r w:rsidRPr="00EA548B">
        <w:rPr>
          <w:b/>
          <w:sz w:val="22"/>
          <w:szCs w:val="22"/>
          <w:shd w:val="clear" w:color="auto" w:fill="FFFFFF"/>
        </w:rPr>
        <w:t>Bulgarian Citizenship Directorate</w:t>
      </w:r>
      <w:bookmarkEnd w:id="0"/>
      <w:r w:rsidR="001C1EC2">
        <w:rPr>
          <w:b/>
          <w:sz w:val="22"/>
          <w:szCs w:val="22"/>
          <w:shd w:val="clear" w:color="auto" w:fill="FFFFFF"/>
        </w:rPr>
        <w:t xml:space="preserve"> </w:t>
      </w:r>
      <w:r w:rsidR="001C1EC2">
        <w:rPr>
          <w:sz w:val="22"/>
          <w:szCs w:val="22"/>
          <w:shd w:val="clear" w:color="auto" w:fill="FFFFFF"/>
        </w:rPr>
        <w:t>and (b) as independent consultative body, t</w:t>
      </w:r>
      <w:r w:rsidRPr="00EA548B">
        <w:rPr>
          <w:sz w:val="22"/>
          <w:szCs w:val="22"/>
          <w:shd w:val="clear" w:color="auto" w:fill="FFFFFF"/>
        </w:rPr>
        <w:t xml:space="preserve">he </w:t>
      </w:r>
      <w:r w:rsidRPr="00EA548B">
        <w:rPr>
          <w:b/>
          <w:sz w:val="22"/>
          <w:szCs w:val="22"/>
          <w:shd w:val="clear" w:color="auto" w:fill="FFFFFF"/>
        </w:rPr>
        <w:t>Council for Citizenship</w:t>
      </w:r>
      <w:r w:rsidRPr="00EA548B">
        <w:rPr>
          <w:sz w:val="22"/>
          <w:szCs w:val="22"/>
          <w:shd w:val="clear" w:color="auto" w:fill="FFFFFF"/>
        </w:rPr>
        <w:t>; and</w:t>
      </w:r>
      <w:r w:rsidR="001C1EC2">
        <w:rPr>
          <w:sz w:val="22"/>
          <w:szCs w:val="22"/>
          <w:shd w:val="clear" w:color="auto" w:fill="FFFFFF"/>
        </w:rPr>
        <w:t xml:space="preserve"> (</w:t>
      </w:r>
      <w:r w:rsidR="00A659EF">
        <w:rPr>
          <w:sz w:val="22"/>
          <w:szCs w:val="22"/>
          <w:shd w:val="clear" w:color="auto" w:fill="FFFFFF"/>
        </w:rPr>
        <w:t>c</w:t>
      </w:r>
      <w:r w:rsidR="001C1EC2">
        <w:rPr>
          <w:sz w:val="22"/>
          <w:szCs w:val="22"/>
          <w:shd w:val="clear" w:color="auto" w:fill="FFFFFF"/>
        </w:rPr>
        <w:t>) assisting as consultative body to the President’s Cabinet,</w:t>
      </w:r>
      <w:r w:rsidRPr="00EA548B">
        <w:rPr>
          <w:sz w:val="22"/>
          <w:szCs w:val="22"/>
          <w:shd w:val="clear" w:color="auto" w:fill="FFFFFF"/>
        </w:rPr>
        <w:t xml:space="preserve"> </w:t>
      </w:r>
      <w:r w:rsidR="001C1EC2">
        <w:rPr>
          <w:sz w:val="22"/>
          <w:szCs w:val="22"/>
          <w:shd w:val="clear" w:color="auto" w:fill="FFFFFF"/>
        </w:rPr>
        <w:t>t</w:t>
      </w:r>
      <w:r w:rsidRPr="00EA548B">
        <w:rPr>
          <w:sz w:val="22"/>
          <w:szCs w:val="22"/>
          <w:shd w:val="clear" w:color="auto" w:fill="FFFFFF"/>
        </w:rPr>
        <w:t xml:space="preserve">he </w:t>
      </w:r>
      <w:r w:rsidRPr="00EA548B">
        <w:rPr>
          <w:b/>
          <w:sz w:val="22"/>
          <w:szCs w:val="22"/>
          <w:shd w:val="clear" w:color="auto" w:fill="FFFFFF"/>
        </w:rPr>
        <w:t>Bulgarian Citizenship Commission</w:t>
      </w:r>
      <w:r w:rsidRPr="00EA548B">
        <w:rPr>
          <w:sz w:val="22"/>
          <w:szCs w:val="22"/>
          <w:shd w:val="clear" w:color="auto" w:fill="FFFFFF"/>
        </w:rPr>
        <w:t>.</w:t>
      </w:r>
      <w:r>
        <w:rPr>
          <w:sz w:val="22"/>
          <w:szCs w:val="22"/>
          <w:shd w:val="clear" w:color="auto" w:fill="FFFFFF"/>
        </w:rPr>
        <w:t xml:space="preserve"> The </w:t>
      </w:r>
      <w:r>
        <w:rPr>
          <w:sz w:val="22"/>
          <w:szCs w:val="22"/>
          <w:lang w:eastAsia="bg-BG"/>
        </w:rPr>
        <w:t>State Agency for National Security</w:t>
      </w:r>
      <w:r w:rsidR="001C1EC2">
        <w:rPr>
          <w:sz w:val="22"/>
          <w:szCs w:val="22"/>
          <w:lang w:eastAsia="bg-BG"/>
        </w:rPr>
        <w:t xml:space="preserve"> (SANS)</w:t>
      </w:r>
      <w:r>
        <w:rPr>
          <w:sz w:val="22"/>
          <w:szCs w:val="22"/>
          <w:lang w:eastAsia="bg-BG"/>
        </w:rPr>
        <w:t xml:space="preserve"> provides its opinion on the applications</w:t>
      </w:r>
      <w:r w:rsidR="00BD3053">
        <w:rPr>
          <w:sz w:val="22"/>
          <w:szCs w:val="22"/>
          <w:lang w:eastAsia="bg-BG"/>
        </w:rPr>
        <w:t xml:space="preserve"> on the basis the checks (security checks and checks on the origin of the funds)</w:t>
      </w:r>
      <w:r>
        <w:rPr>
          <w:sz w:val="22"/>
          <w:szCs w:val="22"/>
          <w:lang w:eastAsia="bg-BG"/>
        </w:rPr>
        <w:t xml:space="preserve"> under both investors’ schemes. </w:t>
      </w:r>
    </w:p>
    <w:p w14:paraId="2870D0AC" w14:textId="77777777" w:rsidR="00337204" w:rsidRDefault="00337204" w:rsidP="00337204">
      <w:pPr>
        <w:spacing w:after="0" w:line="240" w:lineRule="auto"/>
        <w:jc w:val="both"/>
        <w:rPr>
          <w:b/>
          <w:i/>
          <w:sz w:val="22"/>
          <w:szCs w:val="22"/>
        </w:rPr>
      </w:pPr>
    </w:p>
    <w:p w14:paraId="61D9B782" w14:textId="77777777" w:rsidR="00337204" w:rsidRDefault="00970E49" w:rsidP="00337204">
      <w:pPr>
        <w:spacing w:after="0" w:line="240" w:lineRule="auto"/>
        <w:jc w:val="both"/>
        <w:outlineLvl w:val="0"/>
        <w:rPr>
          <w:b/>
          <w:i/>
          <w:sz w:val="22"/>
          <w:szCs w:val="22"/>
        </w:rPr>
      </w:pPr>
      <w:r w:rsidRPr="005C3B7A">
        <w:rPr>
          <w:b/>
          <w:i/>
          <w:sz w:val="22"/>
          <w:szCs w:val="22"/>
        </w:rPr>
        <w:t>Investors’ Citizenship Schemes</w:t>
      </w:r>
    </w:p>
    <w:p w14:paraId="5EE1C688" w14:textId="77777777" w:rsidR="00337204" w:rsidRDefault="00337204" w:rsidP="00402C02">
      <w:pPr>
        <w:spacing w:after="0" w:line="240" w:lineRule="auto"/>
        <w:jc w:val="both"/>
        <w:rPr>
          <w:b/>
          <w:i/>
          <w:sz w:val="22"/>
          <w:szCs w:val="22"/>
        </w:rPr>
      </w:pPr>
    </w:p>
    <w:p w14:paraId="04AE1D2A" w14:textId="7055BD95" w:rsidR="00D907E1" w:rsidRDefault="00C843A5" w:rsidP="00D907E1">
      <w:pPr>
        <w:spacing w:after="0" w:line="240" w:lineRule="auto"/>
        <w:jc w:val="both"/>
        <w:rPr>
          <w:sz w:val="22"/>
          <w:szCs w:val="22"/>
        </w:rPr>
      </w:pPr>
      <w:r>
        <w:rPr>
          <w:sz w:val="22"/>
          <w:szCs w:val="22"/>
          <w:lang w:eastAsia="en-GB"/>
        </w:rPr>
        <w:t xml:space="preserve">There are </w:t>
      </w:r>
      <w:r w:rsidR="00D907E1">
        <w:rPr>
          <w:sz w:val="22"/>
          <w:szCs w:val="22"/>
        </w:rPr>
        <w:t>two investors’ citizenship schemes</w:t>
      </w:r>
      <w:r>
        <w:rPr>
          <w:sz w:val="22"/>
          <w:szCs w:val="22"/>
        </w:rPr>
        <w:t xml:space="preserve"> in Bulgaria</w:t>
      </w:r>
      <w:r w:rsidR="00D907E1">
        <w:rPr>
          <w:sz w:val="22"/>
          <w:szCs w:val="22"/>
        </w:rPr>
        <w:t xml:space="preserve">: an </w:t>
      </w:r>
      <w:r w:rsidR="00D907E1">
        <w:rPr>
          <w:b/>
          <w:sz w:val="22"/>
          <w:szCs w:val="22"/>
        </w:rPr>
        <w:t>ordinary investors’ citizenship scheme</w:t>
      </w:r>
      <w:r w:rsidR="00D907E1">
        <w:rPr>
          <w:sz w:val="22"/>
          <w:szCs w:val="22"/>
        </w:rPr>
        <w:t xml:space="preserve"> (</w:t>
      </w:r>
      <w:r w:rsidR="00D907E1" w:rsidRPr="00496156">
        <w:rPr>
          <w:b/>
          <w:sz w:val="22"/>
          <w:szCs w:val="22"/>
        </w:rPr>
        <w:t>Article 12a</w:t>
      </w:r>
      <w:r w:rsidR="00D907E1">
        <w:rPr>
          <w:sz w:val="22"/>
          <w:szCs w:val="22"/>
        </w:rPr>
        <w:t xml:space="preserve"> BCA) and a </w:t>
      </w:r>
      <w:r w:rsidR="00D907E1">
        <w:rPr>
          <w:b/>
          <w:sz w:val="22"/>
          <w:szCs w:val="22"/>
        </w:rPr>
        <w:t xml:space="preserve">fast-track investors’ citizenship scheme </w:t>
      </w:r>
      <w:r w:rsidR="00D907E1">
        <w:rPr>
          <w:sz w:val="22"/>
          <w:szCs w:val="22"/>
        </w:rPr>
        <w:t>(</w:t>
      </w:r>
      <w:r w:rsidR="00D907E1" w:rsidRPr="00496156">
        <w:rPr>
          <w:b/>
          <w:sz w:val="22"/>
          <w:szCs w:val="22"/>
        </w:rPr>
        <w:t>Article 14a</w:t>
      </w:r>
      <w:r w:rsidR="00D907E1">
        <w:rPr>
          <w:sz w:val="22"/>
          <w:szCs w:val="22"/>
        </w:rPr>
        <w:t xml:space="preserve"> BCA). While the former entails obtaining citizenship by virtue of waiving some of the naturali</w:t>
      </w:r>
      <w:r w:rsidR="001C1EC2">
        <w:rPr>
          <w:sz w:val="22"/>
          <w:szCs w:val="22"/>
        </w:rPr>
        <w:t>s</w:t>
      </w:r>
      <w:r w:rsidR="00D907E1">
        <w:rPr>
          <w:sz w:val="22"/>
          <w:szCs w:val="22"/>
        </w:rPr>
        <w:t xml:space="preserve">ation conditions in exchange of an economic disbursement but still requiring the investor to hold a permanent residence permit issued at least </w:t>
      </w:r>
      <w:r w:rsidR="00D907E1" w:rsidRPr="00496156">
        <w:rPr>
          <w:b/>
          <w:sz w:val="22"/>
          <w:szCs w:val="22"/>
        </w:rPr>
        <w:t>5 years</w:t>
      </w:r>
      <w:r w:rsidR="00D907E1">
        <w:rPr>
          <w:sz w:val="22"/>
          <w:szCs w:val="22"/>
        </w:rPr>
        <w:t xml:space="preserve"> ago, in the latter, the length of residence is reduced to </w:t>
      </w:r>
      <w:r w:rsidR="00D907E1" w:rsidRPr="00496156">
        <w:rPr>
          <w:b/>
          <w:sz w:val="22"/>
          <w:szCs w:val="22"/>
        </w:rPr>
        <w:t>one year</w:t>
      </w:r>
      <w:r w:rsidR="00D907E1">
        <w:rPr>
          <w:sz w:val="22"/>
          <w:szCs w:val="22"/>
        </w:rPr>
        <w:t xml:space="preserve"> if the investment requirement (</w:t>
      </w:r>
      <w:r w:rsidR="00D907E1" w:rsidRPr="00496156">
        <w:rPr>
          <w:b/>
          <w:sz w:val="22"/>
          <w:szCs w:val="22"/>
        </w:rPr>
        <w:t>to increase the investment</w:t>
      </w:r>
      <w:r w:rsidR="00D907E1">
        <w:rPr>
          <w:sz w:val="22"/>
          <w:szCs w:val="22"/>
        </w:rPr>
        <w:t xml:space="preserve">) has been fulfilled. </w:t>
      </w:r>
    </w:p>
    <w:p w14:paraId="75D843CE" w14:textId="35ED7DAF" w:rsidR="00D907E1" w:rsidRDefault="00D907E1" w:rsidP="00402C02">
      <w:pPr>
        <w:spacing w:after="0" w:line="240" w:lineRule="auto"/>
        <w:jc w:val="both"/>
        <w:rPr>
          <w:sz w:val="22"/>
          <w:szCs w:val="22"/>
        </w:rPr>
      </w:pPr>
    </w:p>
    <w:p w14:paraId="72FB6961" w14:textId="4BCF6CFA" w:rsidR="001C1EC2" w:rsidRPr="00BD3053" w:rsidRDefault="001C1EC2" w:rsidP="00402C02">
      <w:pPr>
        <w:spacing w:after="0" w:line="240" w:lineRule="auto"/>
        <w:jc w:val="both"/>
        <w:rPr>
          <w:sz w:val="22"/>
          <w:szCs w:val="22"/>
        </w:rPr>
      </w:pPr>
      <w:r>
        <w:rPr>
          <w:sz w:val="22"/>
          <w:szCs w:val="22"/>
        </w:rPr>
        <w:t xml:space="preserve">To apply for Bulgarian citizenship, either through the ordinary or fast-track investors’ citizenship scheme, the foreign investor has to carry out an investment which is regulated in </w:t>
      </w:r>
      <w:r w:rsidRPr="00175421">
        <w:rPr>
          <w:b/>
          <w:sz w:val="22"/>
          <w:szCs w:val="22"/>
        </w:rPr>
        <w:t>Article 25, paragraph 1, items 6, 7, 8, 13 and 16 of the FNA</w:t>
      </w:r>
      <w:r>
        <w:rPr>
          <w:sz w:val="22"/>
          <w:szCs w:val="22"/>
        </w:rPr>
        <w:t>. The types of investment</w:t>
      </w:r>
      <w:r w:rsidR="00FB3518">
        <w:rPr>
          <w:sz w:val="22"/>
          <w:szCs w:val="22"/>
        </w:rPr>
        <w:t xml:space="preserve"> and</w:t>
      </w:r>
      <w:r>
        <w:rPr>
          <w:sz w:val="22"/>
          <w:szCs w:val="22"/>
        </w:rPr>
        <w:t xml:space="preserve"> their minimum financial threshold </w:t>
      </w:r>
      <w:r w:rsidR="001658AF">
        <w:rPr>
          <w:sz w:val="22"/>
          <w:szCs w:val="22"/>
        </w:rPr>
        <w:t xml:space="preserve">are shown in </w:t>
      </w:r>
      <w:r w:rsidR="00355CEC" w:rsidRPr="00355CEC">
        <w:rPr>
          <w:sz w:val="22"/>
          <w:szCs w:val="22"/>
        </w:rPr>
        <w:fldChar w:fldCharType="begin"/>
      </w:r>
      <w:r w:rsidR="00355CEC" w:rsidRPr="00355CEC">
        <w:rPr>
          <w:sz w:val="22"/>
          <w:szCs w:val="22"/>
        </w:rPr>
        <w:instrText xml:space="preserve"> REF _Ref520378325 \h </w:instrText>
      </w:r>
      <w:r w:rsidR="00355CEC">
        <w:rPr>
          <w:sz w:val="22"/>
          <w:szCs w:val="22"/>
        </w:rPr>
        <w:instrText xml:space="preserve"> \* MERGEFORMAT </w:instrText>
      </w:r>
      <w:r w:rsidR="00355CEC" w:rsidRPr="00355CEC">
        <w:rPr>
          <w:sz w:val="22"/>
          <w:szCs w:val="22"/>
        </w:rPr>
      </w:r>
      <w:r w:rsidR="00355CEC" w:rsidRPr="00355CEC">
        <w:rPr>
          <w:sz w:val="22"/>
          <w:szCs w:val="22"/>
        </w:rPr>
        <w:fldChar w:fldCharType="separate"/>
      </w:r>
      <w:r w:rsidR="00124983" w:rsidRPr="00A747B9">
        <w:rPr>
          <w:b/>
          <w:sz w:val="22"/>
          <w:szCs w:val="22"/>
        </w:rPr>
        <w:t xml:space="preserve">Table </w:t>
      </w:r>
      <w:r w:rsidR="00124983" w:rsidRPr="00A747B9">
        <w:rPr>
          <w:b/>
          <w:noProof/>
          <w:sz w:val="22"/>
          <w:szCs w:val="22"/>
        </w:rPr>
        <w:t>1</w:t>
      </w:r>
      <w:r w:rsidR="00355CEC" w:rsidRPr="00355CEC">
        <w:rPr>
          <w:sz w:val="22"/>
          <w:szCs w:val="22"/>
        </w:rPr>
        <w:fldChar w:fldCharType="end"/>
      </w:r>
      <w:r w:rsidR="001658AF">
        <w:rPr>
          <w:sz w:val="22"/>
          <w:szCs w:val="22"/>
        </w:rPr>
        <w:t xml:space="preserve"> below. It should be noted that under the fast-track scheme only the investment under </w:t>
      </w:r>
      <w:r w:rsidR="001658AF">
        <w:rPr>
          <w:b/>
          <w:sz w:val="22"/>
          <w:szCs w:val="22"/>
        </w:rPr>
        <w:t>items 6, 7 and 13</w:t>
      </w:r>
      <w:r w:rsidR="001658AF">
        <w:rPr>
          <w:sz w:val="22"/>
          <w:szCs w:val="22"/>
        </w:rPr>
        <w:t xml:space="preserve"> with the corresponding increase</w:t>
      </w:r>
      <w:r w:rsidR="00A659EF">
        <w:rPr>
          <w:sz w:val="22"/>
          <w:szCs w:val="22"/>
        </w:rPr>
        <w:t xml:space="preserve"> are eligible. </w:t>
      </w:r>
    </w:p>
    <w:p w14:paraId="490AE9FC" w14:textId="42BF31DD" w:rsidR="001658AF" w:rsidRDefault="001658AF" w:rsidP="00402C02">
      <w:pPr>
        <w:spacing w:after="0" w:line="240" w:lineRule="auto"/>
        <w:jc w:val="both"/>
        <w:rPr>
          <w:b/>
          <w:sz w:val="22"/>
          <w:szCs w:val="22"/>
        </w:rPr>
      </w:pPr>
    </w:p>
    <w:p w14:paraId="3C523FD7" w14:textId="5CDB08C8" w:rsidR="00BD3053" w:rsidRPr="00BD3053" w:rsidRDefault="00BD3053" w:rsidP="00BD3053">
      <w:pPr>
        <w:pStyle w:val="Caption"/>
        <w:keepNext/>
        <w:rPr>
          <w:b/>
          <w:i w:val="0"/>
        </w:rPr>
      </w:pPr>
      <w:bookmarkStart w:id="1" w:name="_Ref520378325"/>
      <w:r w:rsidRPr="00BD3053">
        <w:rPr>
          <w:b/>
          <w:i w:val="0"/>
        </w:rPr>
        <w:lastRenderedPageBreak/>
        <w:t xml:space="preserve">Table </w:t>
      </w:r>
      <w:r w:rsidRPr="00BD3053">
        <w:rPr>
          <w:b/>
          <w:i w:val="0"/>
        </w:rPr>
        <w:fldChar w:fldCharType="begin"/>
      </w:r>
      <w:r w:rsidRPr="00BD3053">
        <w:rPr>
          <w:b/>
          <w:i w:val="0"/>
        </w:rPr>
        <w:instrText xml:space="preserve"> SEQ Table \* ARABIC </w:instrText>
      </w:r>
      <w:r w:rsidRPr="00BD3053">
        <w:rPr>
          <w:b/>
          <w:i w:val="0"/>
        </w:rPr>
        <w:fldChar w:fldCharType="separate"/>
      </w:r>
      <w:r w:rsidR="00124983">
        <w:rPr>
          <w:b/>
          <w:i w:val="0"/>
          <w:noProof/>
        </w:rPr>
        <w:t>1</w:t>
      </w:r>
      <w:r w:rsidRPr="00BD3053">
        <w:rPr>
          <w:b/>
          <w:i w:val="0"/>
        </w:rPr>
        <w:fldChar w:fldCharType="end"/>
      </w:r>
      <w:bookmarkEnd w:id="1"/>
      <w:r w:rsidRPr="00BD3053">
        <w:rPr>
          <w:b/>
          <w:i w:val="0"/>
        </w:rPr>
        <w:t xml:space="preserve"> Types of investment to obtain citizenship</w:t>
      </w:r>
    </w:p>
    <w:tbl>
      <w:tblPr>
        <w:tblStyle w:val="TableGrid"/>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A0" w:firstRow="1" w:lastRow="0" w:firstColumn="1" w:lastColumn="0" w:noHBand="0" w:noVBand="1"/>
      </w:tblPr>
      <w:tblGrid>
        <w:gridCol w:w="4668"/>
        <w:gridCol w:w="1996"/>
        <w:gridCol w:w="2342"/>
      </w:tblGrid>
      <w:tr w:rsidR="009E7A99" w:rsidRPr="001658AF" w14:paraId="50469EB1" w14:textId="77777777" w:rsidTr="009E7A99">
        <w:trPr>
          <w:tblHeader/>
        </w:trPr>
        <w:tc>
          <w:tcPr>
            <w:tcW w:w="2592" w:type="pct"/>
            <w:shd w:val="clear" w:color="auto" w:fill="4472C4"/>
          </w:tcPr>
          <w:p w14:paraId="7AF7A719" w14:textId="77777777" w:rsidR="009E7A99" w:rsidRPr="001658AF" w:rsidRDefault="009E7A99" w:rsidP="001658AF">
            <w:pPr>
              <w:jc w:val="both"/>
              <w:rPr>
                <w:rFonts w:ascii="Century Gothic" w:eastAsia="Calibri" w:hAnsi="Century Gothic"/>
                <w:b/>
                <w:color w:val="FFFFFF"/>
              </w:rPr>
            </w:pPr>
            <w:r w:rsidRPr="001658AF">
              <w:rPr>
                <w:rFonts w:ascii="Century Gothic" w:eastAsia="Calibri" w:hAnsi="Century Gothic"/>
                <w:b/>
                <w:color w:val="FFFFFF"/>
              </w:rPr>
              <w:t>Investment</w:t>
            </w:r>
          </w:p>
        </w:tc>
        <w:tc>
          <w:tcPr>
            <w:tcW w:w="2408" w:type="pct"/>
            <w:gridSpan w:val="2"/>
            <w:shd w:val="clear" w:color="auto" w:fill="4472C4"/>
          </w:tcPr>
          <w:p w14:paraId="48250BE8" w14:textId="7DC5FC21" w:rsidR="009E7A99" w:rsidRPr="001658AF" w:rsidRDefault="00F54C9E" w:rsidP="001658AF">
            <w:pPr>
              <w:jc w:val="both"/>
              <w:rPr>
                <w:rFonts w:ascii="Century Gothic" w:eastAsia="Calibri" w:hAnsi="Century Gothic"/>
                <w:b/>
                <w:color w:val="FFFFFF"/>
              </w:rPr>
            </w:pPr>
            <w:r w:rsidRPr="00F54C9E">
              <w:rPr>
                <w:rFonts w:ascii="Century Gothic" w:eastAsia="Calibri" w:hAnsi="Century Gothic"/>
                <w:b/>
                <w:color w:val="FFFFFF" w:themeColor="background1"/>
              </w:rPr>
              <w:t>Type of scheme</w:t>
            </w:r>
          </w:p>
        </w:tc>
      </w:tr>
      <w:tr w:rsidR="009E7A99" w:rsidRPr="001658AF" w14:paraId="78B8B62E" w14:textId="77777777" w:rsidTr="00F54C9E">
        <w:trPr>
          <w:trHeight w:val="155"/>
        </w:trPr>
        <w:tc>
          <w:tcPr>
            <w:tcW w:w="2592" w:type="pct"/>
            <w:shd w:val="clear" w:color="auto" w:fill="8EAADB" w:themeFill="accent1" w:themeFillTint="99"/>
          </w:tcPr>
          <w:p w14:paraId="2541D17F" w14:textId="77777777" w:rsidR="009E7A99" w:rsidRPr="001658AF" w:rsidRDefault="009E7A99" w:rsidP="001658AF">
            <w:pPr>
              <w:jc w:val="both"/>
              <w:rPr>
                <w:rFonts w:ascii="Century Gothic" w:eastAsia="Calibri" w:hAnsi="Century Gothic"/>
                <w:b/>
              </w:rPr>
            </w:pPr>
            <w:r w:rsidRPr="001658AF">
              <w:rPr>
                <w:rFonts w:ascii="Century Gothic" w:eastAsia="Calibri" w:hAnsi="Century Gothic"/>
                <w:b/>
              </w:rPr>
              <w:t>Type of investment</w:t>
            </w:r>
          </w:p>
        </w:tc>
        <w:tc>
          <w:tcPr>
            <w:tcW w:w="1108" w:type="pct"/>
            <w:shd w:val="clear" w:color="auto" w:fill="8EAADB" w:themeFill="accent1" w:themeFillTint="99"/>
          </w:tcPr>
          <w:p w14:paraId="690EB858" w14:textId="77777777" w:rsidR="009E7A99" w:rsidRPr="001658AF" w:rsidRDefault="009E7A99" w:rsidP="001658AF">
            <w:pPr>
              <w:jc w:val="both"/>
              <w:rPr>
                <w:rFonts w:ascii="Century Gothic" w:eastAsia="Calibri" w:hAnsi="Century Gothic"/>
                <w:b/>
              </w:rPr>
            </w:pPr>
            <w:r w:rsidRPr="001658AF">
              <w:rPr>
                <w:rFonts w:ascii="Century Gothic" w:eastAsia="Calibri" w:hAnsi="Century Gothic"/>
                <w:b/>
              </w:rPr>
              <w:t>Ordinary</w:t>
            </w:r>
          </w:p>
        </w:tc>
        <w:tc>
          <w:tcPr>
            <w:tcW w:w="1300" w:type="pct"/>
            <w:shd w:val="clear" w:color="auto" w:fill="8EAADB" w:themeFill="accent1" w:themeFillTint="99"/>
          </w:tcPr>
          <w:p w14:paraId="74C3058C" w14:textId="77777777" w:rsidR="009E7A99" w:rsidRPr="001658AF" w:rsidRDefault="009E7A99" w:rsidP="001658AF">
            <w:pPr>
              <w:jc w:val="both"/>
              <w:rPr>
                <w:rFonts w:ascii="Century Gothic" w:eastAsia="Calibri" w:hAnsi="Century Gothic"/>
                <w:b/>
              </w:rPr>
            </w:pPr>
            <w:r w:rsidRPr="001658AF">
              <w:rPr>
                <w:rFonts w:ascii="Century Gothic" w:eastAsia="Calibri" w:hAnsi="Century Gothic"/>
                <w:b/>
              </w:rPr>
              <w:t>Fast-track</w:t>
            </w:r>
          </w:p>
        </w:tc>
      </w:tr>
      <w:tr w:rsidR="009E7A99" w:rsidRPr="001658AF" w14:paraId="242EEA9A" w14:textId="77777777" w:rsidTr="00F54C9E">
        <w:trPr>
          <w:trHeight w:val="151"/>
        </w:trPr>
        <w:tc>
          <w:tcPr>
            <w:tcW w:w="2592" w:type="pct"/>
            <w:shd w:val="clear" w:color="auto" w:fill="B4C6E7" w:themeFill="accent1" w:themeFillTint="66"/>
          </w:tcPr>
          <w:p w14:paraId="2DA38678" w14:textId="0AC7DC93" w:rsidR="009E7A99" w:rsidRPr="001658AF" w:rsidRDefault="009E7A99" w:rsidP="001658AF">
            <w:pPr>
              <w:jc w:val="both"/>
              <w:rPr>
                <w:rFonts w:ascii="Century Gothic" w:eastAsia="Calibri" w:hAnsi="Century Gothic"/>
              </w:rPr>
            </w:pPr>
            <w:r>
              <w:rPr>
                <w:rFonts w:ascii="Century Gothic" w:eastAsia="Calibri" w:hAnsi="Century Gothic"/>
                <w:b/>
              </w:rPr>
              <w:t xml:space="preserve">Art. 25(1) item 6 FNA: </w:t>
            </w:r>
            <w:r>
              <w:rPr>
                <w:rFonts w:ascii="Century Gothic" w:eastAsia="Calibri" w:hAnsi="Century Gothic"/>
              </w:rPr>
              <w:t>Investment in s</w:t>
            </w:r>
            <w:r w:rsidRPr="001658AF">
              <w:rPr>
                <w:rFonts w:ascii="Century Gothic" w:eastAsia="Calibri" w:hAnsi="Century Gothic"/>
              </w:rPr>
              <w:t>hares, OR bonds and treasury bills, OR, ownership of company owned in more 50% by State/municipality</w:t>
            </w:r>
            <w:r>
              <w:rPr>
                <w:rFonts w:ascii="Century Gothic" w:eastAsia="Calibri" w:hAnsi="Century Gothic"/>
              </w:rPr>
              <w:t xml:space="preserve"> </w:t>
            </w:r>
            <w:r w:rsidRPr="000B7E3D">
              <w:rPr>
                <w:rFonts w:ascii="Century Gothic" w:eastAsia="Calibri" w:hAnsi="Century Gothic"/>
                <w:lang w:val="en-GB"/>
              </w:rPr>
              <w:t>under the Privatization and Post-Privatization Control Act</w:t>
            </w:r>
            <w:r w:rsidRPr="001658AF">
              <w:rPr>
                <w:rFonts w:ascii="Century Gothic" w:eastAsia="Calibri" w:hAnsi="Century Gothic"/>
              </w:rPr>
              <w:t xml:space="preserve">, OR </w:t>
            </w:r>
            <w:r>
              <w:rPr>
                <w:rFonts w:ascii="Century Gothic" w:eastAsia="Calibri" w:hAnsi="Century Gothic"/>
              </w:rPr>
              <w:t xml:space="preserve">units or </w:t>
            </w:r>
            <w:r w:rsidRPr="001658AF">
              <w:rPr>
                <w:rFonts w:ascii="Century Gothic" w:eastAsia="Calibri" w:hAnsi="Century Gothic"/>
              </w:rPr>
              <w:t>shares owned by State/municipality</w:t>
            </w:r>
            <w:r w:rsidRPr="000B7E3D">
              <w:rPr>
                <w:rFonts w:ascii="Century Gothic" w:eastAsia="Times New Roman" w:hAnsi="Century Gothic"/>
                <w:szCs w:val="18"/>
                <w:bdr w:val="none" w:sz="0" w:space="0" w:color="auto" w:frame="1"/>
                <w:lang w:val="en-GB"/>
              </w:rPr>
              <w:t xml:space="preserve"> </w:t>
            </w:r>
            <w:r w:rsidRPr="000B7E3D">
              <w:rPr>
                <w:rFonts w:ascii="Century Gothic" w:eastAsia="Calibri" w:hAnsi="Century Gothic"/>
                <w:lang w:val="en-GB"/>
              </w:rPr>
              <w:t>under the Privatization and Post-Privatization Control Act</w:t>
            </w:r>
            <w:r w:rsidRPr="001658AF">
              <w:rPr>
                <w:rFonts w:ascii="Century Gothic" w:eastAsia="Calibri" w:hAnsi="Century Gothic"/>
              </w:rPr>
              <w:t xml:space="preserve">, OR Bulgarian intellectual property OR </w:t>
            </w:r>
            <w:r>
              <w:rPr>
                <w:rFonts w:ascii="Century Gothic" w:eastAsia="Calibri" w:hAnsi="Century Gothic"/>
              </w:rPr>
              <w:t xml:space="preserve">acquisition of </w:t>
            </w:r>
            <w:r w:rsidRPr="001658AF">
              <w:rPr>
                <w:rFonts w:ascii="Century Gothic" w:eastAsia="Calibri" w:hAnsi="Century Gothic"/>
              </w:rPr>
              <w:t>rights under concession contracts</w:t>
            </w:r>
          </w:p>
        </w:tc>
        <w:tc>
          <w:tcPr>
            <w:tcW w:w="1108" w:type="pct"/>
            <w:shd w:val="clear" w:color="auto" w:fill="D9E2F3"/>
          </w:tcPr>
          <w:p w14:paraId="756A6A1B" w14:textId="77777777" w:rsidR="009E7A99" w:rsidRPr="001658AF" w:rsidRDefault="009E7A99" w:rsidP="001658AF">
            <w:pPr>
              <w:jc w:val="both"/>
              <w:rPr>
                <w:rFonts w:ascii="Century Gothic" w:eastAsia="Calibri" w:hAnsi="Century Gothic"/>
              </w:rPr>
            </w:pPr>
            <w:r w:rsidRPr="001658AF">
              <w:rPr>
                <w:rFonts w:ascii="Century Gothic" w:eastAsia="Calibri" w:hAnsi="Century Gothic"/>
              </w:rPr>
              <w:t>EUR 500,000</w:t>
            </w:r>
          </w:p>
        </w:tc>
        <w:tc>
          <w:tcPr>
            <w:tcW w:w="1300" w:type="pct"/>
            <w:vMerge w:val="restart"/>
            <w:shd w:val="clear" w:color="auto" w:fill="D9E2F3"/>
          </w:tcPr>
          <w:p w14:paraId="5D8ACF56" w14:textId="77777777" w:rsidR="00F54C9E" w:rsidRDefault="009E7A99" w:rsidP="001658AF">
            <w:pPr>
              <w:jc w:val="both"/>
              <w:rPr>
                <w:rFonts w:ascii="Century Gothic" w:eastAsia="Calibri" w:hAnsi="Century Gothic"/>
              </w:rPr>
            </w:pPr>
            <w:r w:rsidRPr="001658AF">
              <w:rPr>
                <w:rFonts w:ascii="Century Gothic" w:eastAsia="Calibri" w:hAnsi="Century Gothic"/>
              </w:rPr>
              <w:t xml:space="preserve">Increase to EUR 1 million </w:t>
            </w:r>
          </w:p>
          <w:p w14:paraId="25D689D1" w14:textId="77777777" w:rsidR="00F54C9E" w:rsidRDefault="00F54C9E" w:rsidP="001658AF">
            <w:pPr>
              <w:jc w:val="both"/>
              <w:rPr>
                <w:rFonts w:ascii="Century Gothic" w:eastAsia="Calibri" w:hAnsi="Century Gothic"/>
              </w:rPr>
            </w:pPr>
          </w:p>
          <w:p w14:paraId="0E7576B6" w14:textId="3141012B" w:rsidR="009E7A99" w:rsidRPr="00F54C9E" w:rsidRDefault="009E7A99" w:rsidP="001658AF">
            <w:pPr>
              <w:jc w:val="both"/>
              <w:rPr>
                <w:rFonts w:ascii="Century Gothic" w:eastAsia="Calibri" w:hAnsi="Century Gothic"/>
                <w:b/>
                <w:u w:val="single"/>
              </w:rPr>
            </w:pPr>
            <w:r w:rsidRPr="00F54C9E">
              <w:rPr>
                <w:rFonts w:ascii="Century Gothic" w:eastAsia="Calibri" w:hAnsi="Century Gothic"/>
                <w:b/>
                <w:u w:val="single"/>
              </w:rPr>
              <w:t>OR</w:t>
            </w:r>
          </w:p>
          <w:p w14:paraId="5548C23D" w14:textId="77777777" w:rsidR="00F54C9E" w:rsidRDefault="00F54C9E" w:rsidP="001658AF">
            <w:pPr>
              <w:jc w:val="both"/>
              <w:rPr>
                <w:rFonts w:ascii="Century Gothic" w:eastAsia="Calibri" w:hAnsi="Century Gothic"/>
              </w:rPr>
            </w:pPr>
          </w:p>
          <w:p w14:paraId="05ABA03D" w14:textId="3271DD6F" w:rsidR="009E7A99" w:rsidRPr="001658AF" w:rsidRDefault="009E7A99" w:rsidP="001658AF">
            <w:pPr>
              <w:jc w:val="both"/>
              <w:rPr>
                <w:rFonts w:ascii="Century Gothic" w:eastAsia="Calibri" w:hAnsi="Century Gothic"/>
              </w:rPr>
            </w:pPr>
            <w:r w:rsidRPr="001658AF">
              <w:rPr>
                <w:rFonts w:ascii="Century Gothic" w:eastAsia="Calibri" w:hAnsi="Century Gothic"/>
              </w:rPr>
              <w:t>invested in the capital of a Bulgarian commercial company no less than EUR 500,000 for a priority investment project</w:t>
            </w:r>
          </w:p>
        </w:tc>
      </w:tr>
      <w:tr w:rsidR="009E7A99" w:rsidRPr="001658AF" w14:paraId="41320C4A" w14:textId="77777777" w:rsidTr="00F54C9E">
        <w:trPr>
          <w:trHeight w:val="151"/>
        </w:trPr>
        <w:tc>
          <w:tcPr>
            <w:tcW w:w="2592" w:type="pct"/>
            <w:shd w:val="clear" w:color="auto" w:fill="B4C6E7" w:themeFill="accent1" w:themeFillTint="66"/>
          </w:tcPr>
          <w:p w14:paraId="3E09E681" w14:textId="4C0D8458" w:rsidR="009E7A99" w:rsidRPr="001658AF" w:rsidRDefault="009E7A99" w:rsidP="001658AF">
            <w:pPr>
              <w:jc w:val="both"/>
              <w:rPr>
                <w:rFonts w:ascii="Century Gothic" w:eastAsia="Calibri" w:hAnsi="Century Gothic"/>
              </w:rPr>
            </w:pPr>
            <w:r>
              <w:rPr>
                <w:rFonts w:ascii="Century Gothic" w:eastAsia="Calibri" w:hAnsi="Century Gothic"/>
                <w:b/>
              </w:rPr>
              <w:t xml:space="preserve">Art. 25(1) item 7 FNA: </w:t>
            </w:r>
            <w:r>
              <w:rPr>
                <w:rFonts w:ascii="Century Gothic" w:eastAsia="Calibri" w:hAnsi="Century Gothic"/>
              </w:rPr>
              <w:t>Investment in a l</w:t>
            </w:r>
            <w:r w:rsidRPr="001658AF">
              <w:rPr>
                <w:rFonts w:ascii="Century Gothic" w:eastAsia="Calibri" w:hAnsi="Century Gothic"/>
              </w:rPr>
              <w:t>icensed credit institution under trustee agreement</w:t>
            </w:r>
          </w:p>
        </w:tc>
        <w:tc>
          <w:tcPr>
            <w:tcW w:w="1108" w:type="pct"/>
            <w:shd w:val="clear" w:color="auto" w:fill="D9E2F3"/>
          </w:tcPr>
          <w:p w14:paraId="1CDCAD92" w14:textId="77777777" w:rsidR="009E7A99" w:rsidRPr="001658AF" w:rsidRDefault="009E7A99" w:rsidP="001658AF">
            <w:pPr>
              <w:jc w:val="both"/>
              <w:rPr>
                <w:rFonts w:ascii="Century Gothic" w:eastAsia="Calibri" w:hAnsi="Century Gothic"/>
              </w:rPr>
            </w:pPr>
            <w:r w:rsidRPr="001658AF">
              <w:rPr>
                <w:rFonts w:ascii="Century Gothic" w:eastAsia="Calibri" w:hAnsi="Century Gothic"/>
              </w:rPr>
              <w:t>EUR 500,000</w:t>
            </w:r>
          </w:p>
        </w:tc>
        <w:tc>
          <w:tcPr>
            <w:tcW w:w="1300" w:type="pct"/>
            <w:vMerge/>
            <w:shd w:val="clear" w:color="auto" w:fill="D9E2F3"/>
          </w:tcPr>
          <w:p w14:paraId="58FB712F" w14:textId="77777777" w:rsidR="009E7A99" w:rsidRPr="001658AF" w:rsidRDefault="009E7A99" w:rsidP="001658AF">
            <w:pPr>
              <w:jc w:val="both"/>
              <w:rPr>
                <w:rFonts w:ascii="Century Gothic" w:eastAsia="Calibri" w:hAnsi="Century Gothic"/>
              </w:rPr>
            </w:pPr>
          </w:p>
        </w:tc>
      </w:tr>
      <w:tr w:rsidR="009E7A99" w:rsidRPr="001658AF" w14:paraId="015BFE78" w14:textId="77777777" w:rsidTr="00F54C9E">
        <w:trPr>
          <w:trHeight w:val="151"/>
        </w:trPr>
        <w:tc>
          <w:tcPr>
            <w:tcW w:w="2592" w:type="pct"/>
            <w:shd w:val="clear" w:color="auto" w:fill="B4C6E7" w:themeFill="accent1" w:themeFillTint="66"/>
          </w:tcPr>
          <w:p w14:paraId="05F20C8C" w14:textId="18C6D96D" w:rsidR="009E7A99" w:rsidRPr="001658AF" w:rsidRDefault="009E7A99" w:rsidP="001658AF">
            <w:pPr>
              <w:jc w:val="both"/>
              <w:rPr>
                <w:rFonts w:ascii="Century Gothic" w:eastAsia="Calibri" w:hAnsi="Century Gothic"/>
              </w:rPr>
            </w:pPr>
            <w:r>
              <w:rPr>
                <w:rFonts w:ascii="Century Gothic" w:eastAsia="Calibri" w:hAnsi="Century Gothic"/>
                <w:b/>
              </w:rPr>
              <w:t xml:space="preserve">Art. 25(1) item 8 FNA: </w:t>
            </w:r>
            <w:r w:rsidRPr="001658AF">
              <w:rPr>
                <w:rFonts w:ascii="Century Gothic" w:eastAsia="Calibri" w:hAnsi="Century Gothic"/>
              </w:rPr>
              <w:t>In</w:t>
            </w:r>
            <w:r>
              <w:rPr>
                <w:rFonts w:ascii="Century Gothic" w:eastAsia="Calibri" w:hAnsi="Century Gothic"/>
              </w:rPr>
              <w:t>vestment in the</w:t>
            </w:r>
            <w:r w:rsidRPr="001658AF">
              <w:rPr>
                <w:rFonts w:ascii="Century Gothic" w:eastAsia="Calibri" w:hAnsi="Century Gothic"/>
              </w:rPr>
              <w:t xml:space="preserve"> capital of</w:t>
            </w:r>
            <w:r>
              <w:rPr>
                <w:rFonts w:ascii="Century Gothic" w:eastAsia="Calibri" w:hAnsi="Century Gothic"/>
              </w:rPr>
              <w:t xml:space="preserve"> a</w:t>
            </w:r>
            <w:r w:rsidRPr="001658AF">
              <w:rPr>
                <w:rFonts w:ascii="Century Gothic" w:eastAsia="Calibri" w:hAnsi="Century Gothic"/>
              </w:rPr>
              <w:t xml:space="preserve"> Bulgarian trading company </w:t>
            </w:r>
          </w:p>
        </w:tc>
        <w:tc>
          <w:tcPr>
            <w:tcW w:w="1108" w:type="pct"/>
            <w:shd w:val="clear" w:color="auto" w:fill="D9E2F3"/>
          </w:tcPr>
          <w:p w14:paraId="31D816A0" w14:textId="77777777" w:rsidR="009E7A99" w:rsidRPr="001658AF" w:rsidRDefault="009E7A99" w:rsidP="001658AF">
            <w:pPr>
              <w:jc w:val="both"/>
              <w:rPr>
                <w:rFonts w:ascii="Century Gothic" w:eastAsia="Calibri" w:hAnsi="Century Gothic"/>
              </w:rPr>
            </w:pPr>
            <w:r w:rsidRPr="001658AF">
              <w:rPr>
                <w:rFonts w:ascii="Century Gothic" w:eastAsia="Calibri" w:hAnsi="Century Gothic"/>
              </w:rPr>
              <w:t>EUR 3 million</w:t>
            </w:r>
          </w:p>
        </w:tc>
        <w:tc>
          <w:tcPr>
            <w:tcW w:w="1300" w:type="pct"/>
            <w:shd w:val="clear" w:color="auto" w:fill="D9E2F3"/>
          </w:tcPr>
          <w:p w14:paraId="49E8C1B4" w14:textId="77777777" w:rsidR="009E7A99" w:rsidRPr="001658AF" w:rsidRDefault="009E7A99" w:rsidP="001658AF">
            <w:pPr>
              <w:jc w:val="both"/>
              <w:rPr>
                <w:rFonts w:ascii="Century Gothic" w:eastAsia="Calibri" w:hAnsi="Century Gothic"/>
              </w:rPr>
            </w:pPr>
            <w:r w:rsidRPr="001658AF">
              <w:rPr>
                <w:rFonts w:ascii="Century Gothic" w:eastAsia="Calibri" w:hAnsi="Century Gothic"/>
              </w:rPr>
              <w:t>N/A</w:t>
            </w:r>
          </w:p>
        </w:tc>
      </w:tr>
      <w:tr w:rsidR="009E7A99" w:rsidRPr="001658AF" w14:paraId="291972AD" w14:textId="77777777" w:rsidTr="00F54C9E">
        <w:trPr>
          <w:trHeight w:val="151"/>
        </w:trPr>
        <w:tc>
          <w:tcPr>
            <w:tcW w:w="2592" w:type="pct"/>
            <w:shd w:val="clear" w:color="auto" w:fill="B4C6E7" w:themeFill="accent1" w:themeFillTint="66"/>
          </w:tcPr>
          <w:p w14:paraId="67EB96BD" w14:textId="25233B1E" w:rsidR="009E7A99" w:rsidRPr="001658AF" w:rsidRDefault="009E7A99" w:rsidP="00F54C9E">
            <w:pPr>
              <w:jc w:val="both"/>
              <w:rPr>
                <w:rFonts w:ascii="Century Gothic" w:eastAsia="Calibri" w:hAnsi="Century Gothic"/>
              </w:rPr>
            </w:pPr>
            <w:r>
              <w:rPr>
                <w:rFonts w:ascii="Century Gothic" w:eastAsia="Calibri" w:hAnsi="Century Gothic"/>
                <w:b/>
              </w:rPr>
              <w:t xml:space="preserve">Art. 25(1) item 13 FNA: </w:t>
            </w:r>
            <w:r w:rsidRPr="001658AF">
              <w:rPr>
                <w:rFonts w:ascii="Century Gothic" w:eastAsia="Calibri" w:hAnsi="Century Gothic"/>
              </w:rPr>
              <w:t>Bulgarian commercial company awarded Class A, B</w:t>
            </w:r>
            <w:r w:rsidRPr="001658AF">
              <w:rPr>
                <w:rFonts w:ascii="Century Gothic" w:eastAsia="Calibri" w:hAnsi="Century Gothic"/>
                <w:vertAlign w:val="superscript"/>
                <w:lang w:val="en-GB"/>
              </w:rPr>
              <w:footnoteReference w:id="4"/>
            </w:r>
            <w:r w:rsidRPr="001658AF">
              <w:rPr>
                <w:rFonts w:ascii="Century Gothic" w:eastAsia="Calibri" w:hAnsi="Century Gothic"/>
                <w:b/>
                <w:lang w:val="en-GB"/>
              </w:rPr>
              <w:t xml:space="preserve"> </w:t>
            </w:r>
            <w:r w:rsidRPr="001658AF">
              <w:rPr>
                <w:rFonts w:ascii="Century Gothic" w:eastAsia="Calibri" w:hAnsi="Century Gothic"/>
              </w:rPr>
              <w:t>or priority investment project</w:t>
            </w:r>
          </w:p>
        </w:tc>
        <w:tc>
          <w:tcPr>
            <w:tcW w:w="1108" w:type="pct"/>
            <w:shd w:val="clear" w:color="auto" w:fill="D9E2F3"/>
          </w:tcPr>
          <w:p w14:paraId="5402D031" w14:textId="77777777" w:rsidR="009E7A99" w:rsidRPr="001658AF" w:rsidRDefault="009E7A99" w:rsidP="001658AF">
            <w:pPr>
              <w:jc w:val="both"/>
              <w:rPr>
                <w:rFonts w:ascii="Century Gothic" w:eastAsia="Calibri" w:hAnsi="Century Gothic"/>
              </w:rPr>
            </w:pPr>
            <w:r w:rsidRPr="001658AF">
              <w:rPr>
                <w:rFonts w:ascii="Century Gothic" w:eastAsia="Calibri" w:hAnsi="Century Gothic"/>
              </w:rPr>
              <w:t>Depends on type of company</w:t>
            </w:r>
          </w:p>
        </w:tc>
        <w:tc>
          <w:tcPr>
            <w:tcW w:w="1300" w:type="pct"/>
            <w:shd w:val="clear" w:color="auto" w:fill="D9E2F3"/>
          </w:tcPr>
          <w:p w14:paraId="0AF9B821" w14:textId="635092F9" w:rsidR="009E7A99" w:rsidRPr="001658AF" w:rsidRDefault="009E7A99" w:rsidP="00F54C9E">
            <w:pPr>
              <w:jc w:val="both"/>
              <w:rPr>
                <w:rFonts w:ascii="Century Gothic" w:eastAsia="Calibri" w:hAnsi="Century Gothic"/>
              </w:rPr>
            </w:pPr>
            <w:r w:rsidRPr="001658AF">
              <w:rPr>
                <w:rFonts w:ascii="Century Gothic" w:eastAsia="Calibri" w:hAnsi="Century Gothic"/>
              </w:rPr>
              <w:t>Have maintained, for at least one year since receipt of permanent residence permit on grounds of such investment, investments made and put into operation at above the minimum threshold for issuance of a Class A investment certificate under the Investments Promotion Act</w:t>
            </w:r>
          </w:p>
        </w:tc>
      </w:tr>
      <w:tr w:rsidR="009E7A99" w:rsidRPr="001658AF" w14:paraId="2C67E2A0" w14:textId="77777777" w:rsidTr="00F54C9E">
        <w:trPr>
          <w:trHeight w:val="151"/>
        </w:trPr>
        <w:tc>
          <w:tcPr>
            <w:tcW w:w="2592" w:type="pct"/>
            <w:shd w:val="clear" w:color="auto" w:fill="B4C6E7" w:themeFill="accent1" w:themeFillTint="66"/>
          </w:tcPr>
          <w:p w14:paraId="2FD989BA" w14:textId="582D2BB6" w:rsidR="009E7A99" w:rsidRPr="001658AF" w:rsidRDefault="009E7A99" w:rsidP="001658AF">
            <w:pPr>
              <w:jc w:val="both"/>
              <w:rPr>
                <w:rFonts w:ascii="Century Gothic" w:eastAsia="Calibri" w:hAnsi="Century Gothic"/>
              </w:rPr>
            </w:pPr>
            <w:r>
              <w:rPr>
                <w:rFonts w:ascii="Century Gothic" w:eastAsia="Calibri" w:hAnsi="Century Gothic"/>
                <w:b/>
              </w:rPr>
              <w:t xml:space="preserve">Art. 25(1) item 16 FNA: </w:t>
            </w:r>
            <w:r w:rsidRPr="001658AF">
              <w:rPr>
                <w:rFonts w:ascii="Century Gothic" w:eastAsia="Calibri" w:hAnsi="Century Gothic"/>
              </w:rPr>
              <w:t>Bulgarian commercial company owned in no less 50% by investor</w:t>
            </w:r>
          </w:p>
        </w:tc>
        <w:tc>
          <w:tcPr>
            <w:tcW w:w="1108" w:type="pct"/>
            <w:shd w:val="clear" w:color="auto" w:fill="D9E2F3"/>
          </w:tcPr>
          <w:p w14:paraId="478578B7" w14:textId="77777777" w:rsidR="009E7A99" w:rsidRPr="001658AF" w:rsidRDefault="009E7A99" w:rsidP="001658AF">
            <w:pPr>
              <w:jc w:val="both"/>
              <w:rPr>
                <w:rFonts w:ascii="Century Gothic" w:eastAsia="Calibri" w:hAnsi="Century Gothic"/>
              </w:rPr>
            </w:pPr>
            <w:r w:rsidRPr="001658AF">
              <w:rPr>
                <w:rFonts w:ascii="Century Gothic" w:eastAsia="Calibri" w:hAnsi="Century Gothic"/>
              </w:rPr>
              <w:t>EUR 250,000</w:t>
            </w:r>
          </w:p>
        </w:tc>
        <w:tc>
          <w:tcPr>
            <w:tcW w:w="1300" w:type="pct"/>
            <w:shd w:val="clear" w:color="auto" w:fill="D9E2F3"/>
          </w:tcPr>
          <w:p w14:paraId="6674DDA5" w14:textId="77777777" w:rsidR="009E7A99" w:rsidRPr="001658AF" w:rsidRDefault="009E7A99" w:rsidP="001658AF">
            <w:pPr>
              <w:jc w:val="both"/>
              <w:rPr>
                <w:rFonts w:ascii="Century Gothic" w:eastAsia="Calibri" w:hAnsi="Century Gothic"/>
              </w:rPr>
            </w:pPr>
            <w:r w:rsidRPr="001658AF">
              <w:rPr>
                <w:rFonts w:ascii="Century Gothic" w:eastAsia="Calibri" w:hAnsi="Century Gothic"/>
              </w:rPr>
              <w:t>N/A</w:t>
            </w:r>
          </w:p>
        </w:tc>
      </w:tr>
    </w:tbl>
    <w:p w14:paraId="06B8A937" w14:textId="77777777" w:rsidR="001658AF" w:rsidRPr="00BD3053" w:rsidRDefault="001658AF" w:rsidP="00402C02">
      <w:pPr>
        <w:spacing w:after="0" w:line="240" w:lineRule="auto"/>
        <w:jc w:val="both"/>
        <w:rPr>
          <w:b/>
          <w:sz w:val="22"/>
          <w:szCs w:val="22"/>
        </w:rPr>
      </w:pPr>
    </w:p>
    <w:p w14:paraId="189CF5F5" w14:textId="2503F437" w:rsidR="00F54C9E" w:rsidRPr="00F54C9E" w:rsidRDefault="00F54C9E" w:rsidP="00F54C9E">
      <w:pPr>
        <w:spacing w:after="0" w:line="240" w:lineRule="auto"/>
        <w:jc w:val="both"/>
        <w:rPr>
          <w:sz w:val="22"/>
          <w:lang w:eastAsia="en-GB"/>
        </w:rPr>
      </w:pPr>
      <w:r>
        <w:rPr>
          <w:sz w:val="22"/>
          <w:lang w:eastAsia="en-GB"/>
        </w:rPr>
        <w:t xml:space="preserve">Apart from the investment, the following </w:t>
      </w:r>
      <w:r>
        <w:rPr>
          <w:b/>
          <w:sz w:val="22"/>
          <w:lang w:eastAsia="en-GB"/>
        </w:rPr>
        <w:t xml:space="preserve">administrative fees </w:t>
      </w:r>
      <w:r>
        <w:rPr>
          <w:sz w:val="22"/>
          <w:lang w:eastAsia="en-GB"/>
        </w:rPr>
        <w:t>must be paid to the account of the Ministry of Justice for processing the application for Bulgarian citizenship</w:t>
      </w:r>
      <w:r w:rsidRPr="009E7A99">
        <w:rPr>
          <w:sz w:val="22"/>
          <w:lang w:eastAsia="en-GB"/>
        </w:rPr>
        <w:t xml:space="preserve">: </w:t>
      </w:r>
      <w:r>
        <w:rPr>
          <w:sz w:val="22"/>
          <w:lang w:eastAsia="en-GB"/>
        </w:rPr>
        <w:t xml:space="preserve">EUR 5 (for reviewing the application), </w:t>
      </w:r>
      <w:r w:rsidRPr="00F54C9E">
        <w:rPr>
          <w:sz w:val="22"/>
          <w:lang w:eastAsia="en-GB"/>
        </w:rPr>
        <w:t>EUR 50 (</w:t>
      </w:r>
      <w:r>
        <w:rPr>
          <w:sz w:val="22"/>
          <w:lang w:eastAsia="en-GB"/>
        </w:rPr>
        <w:t>State fee</w:t>
      </w:r>
      <w:r w:rsidRPr="00F54C9E">
        <w:rPr>
          <w:sz w:val="22"/>
          <w:lang w:eastAsia="en-GB"/>
        </w:rPr>
        <w:t>)</w:t>
      </w:r>
      <w:r>
        <w:rPr>
          <w:sz w:val="22"/>
          <w:lang w:eastAsia="en-GB"/>
        </w:rPr>
        <w:t xml:space="preserve">, and </w:t>
      </w:r>
      <w:r w:rsidRPr="00F54C9E">
        <w:rPr>
          <w:sz w:val="22"/>
          <w:lang w:eastAsia="en-GB"/>
        </w:rPr>
        <w:t xml:space="preserve">EUR 500 (issuance </w:t>
      </w:r>
      <w:r>
        <w:rPr>
          <w:sz w:val="22"/>
          <w:lang w:eastAsia="en-GB"/>
        </w:rPr>
        <w:t xml:space="preserve">of the </w:t>
      </w:r>
      <w:r w:rsidRPr="00F54C9E">
        <w:rPr>
          <w:sz w:val="22"/>
          <w:lang w:eastAsia="en-GB"/>
        </w:rPr>
        <w:t>permanent residence permit</w:t>
      </w:r>
      <w:r>
        <w:rPr>
          <w:sz w:val="22"/>
          <w:lang w:eastAsia="en-GB"/>
        </w:rPr>
        <w:t>).</w:t>
      </w:r>
    </w:p>
    <w:p w14:paraId="38F64B32" w14:textId="77777777" w:rsidR="009E7A99" w:rsidRDefault="009E7A99" w:rsidP="00AB332A">
      <w:pPr>
        <w:spacing w:after="0" w:line="240" w:lineRule="auto"/>
        <w:jc w:val="both"/>
        <w:rPr>
          <w:sz w:val="22"/>
          <w:lang w:eastAsia="en-GB"/>
        </w:rPr>
      </w:pPr>
    </w:p>
    <w:p w14:paraId="6268E25E" w14:textId="31FFE3CD" w:rsidR="00AB332A" w:rsidRDefault="00AB332A" w:rsidP="00D555F5">
      <w:pPr>
        <w:spacing w:after="0" w:line="240" w:lineRule="auto"/>
        <w:jc w:val="both"/>
        <w:rPr>
          <w:sz w:val="22"/>
          <w:szCs w:val="22"/>
          <w:bdr w:val="none" w:sz="0" w:space="0" w:color="auto" w:frame="1"/>
        </w:rPr>
      </w:pPr>
      <w:r>
        <w:rPr>
          <w:sz w:val="22"/>
          <w:lang w:eastAsia="en-GB"/>
        </w:rPr>
        <w:t xml:space="preserve">Regarding the </w:t>
      </w:r>
      <w:r>
        <w:rPr>
          <w:b/>
          <w:sz w:val="22"/>
          <w:lang w:eastAsia="en-GB"/>
        </w:rPr>
        <w:t xml:space="preserve">residence </w:t>
      </w:r>
      <w:r w:rsidRPr="00AB332A">
        <w:rPr>
          <w:b/>
          <w:sz w:val="22"/>
          <w:lang w:eastAsia="en-GB"/>
        </w:rPr>
        <w:t>requirement</w:t>
      </w:r>
      <w:r>
        <w:rPr>
          <w:sz w:val="22"/>
          <w:lang w:eastAsia="en-GB"/>
        </w:rPr>
        <w:t>, although the Bulgarian legislation requires that the applicant has held a permanent residence permit for at least five years (ordinary investors’ citizenship scheme) or one year (fast-track investors’ citizenship scheme), t</w:t>
      </w:r>
      <w:r w:rsidRPr="00AB332A">
        <w:rPr>
          <w:sz w:val="22"/>
          <w:lang w:eastAsia="en-GB"/>
        </w:rPr>
        <w:t>here</w:t>
      </w:r>
      <w:r>
        <w:rPr>
          <w:sz w:val="22"/>
          <w:lang w:eastAsia="en-GB"/>
        </w:rPr>
        <w:t xml:space="preserve"> is </w:t>
      </w:r>
      <w:r w:rsidRPr="00EF4E4C">
        <w:rPr>
          <w:b/>
          <w:sz w:val="22"/>
          <w:lang w:eastAsia="en-GB"/>
        </w:rPr>
        <w:t>no requirement</w:t>
      </w:r>
      <w:r>
        <w:rPr>
          <w:sz w:val="22"/>
          <w:lang w:eastAsia="en-GB"/>
        </w:rPr>
        <w:t xml:space="preserve"> for the investor </w:t>
      </w:r>
      <w:r w:rsidRPr="00EF4E4C">
        <w:rPr>
          <w:b/>
          <w:sz w:val="22"/>
          <w:lang w:eastAsia="en-GB"/>
        </w:rPr>
        <w:t>to physically stay</w:t>
      </w:r>
      <w:r>
        <w:rPr>
          <w:sz w:val="22"/>
          <w:lang w:eastAsia="en-GB"/>
        </w:rPr>
        <w:t xml:space="preserve"> in the country once they have obtained a permanent residence permit. They are only required to </w:t>
      </w:r>
      <w:r w:rsidRPr="00EF4E4C">
        <w:rPr>
          <w:b/>
          <w:sz w:val="22"/>
          <w:lang w:eastAsia="en-GB"/>
        </w:rPr>
        <w:t>submit</w:t>
      </w:r>
      <w:r>
        <w:rPr>
          <w:sz w:val="22"/>
          <w:lang w:eastAsia="en-GB"/>
        </w:rPr>
        <w:t xml:space="preserve"> the application for citizenship </w:t>
      </w:r>
      <w:r w:rsidRPr="00EF4E4C">
        <w:rPr>
          <w:b/>
          <w:sz w:val="22"/>
          <w:lang w:eastAsia="en-GB"/>
        </w:rPr>
        <w:t>in person</w:t>
      </w:r>
      <w:r>
        <w:rPr>
          <w:sz w:val="22"/>
          <w:lang w:eastAsia="en-GB"/>
        </w:rPr>
        <w:t xml:space="preserve"> and to undergo the application </w:t>
      </w:r>
      <w:r w:rsidRPr="00EF4E4C">
        <w:rPr>
          <w:b/>
          <w:sz w:val="22"/>
          <w:lang w:eastAsia="en-GB"/>
        </w:rPr>
        <w:t>interview</w:t>
      </w:r>
      <w:r>
        <w:rPr>
          <w:sz w:val="22"/>
          <w:lang w:eastAsia="en-GB"/>
        </w:rPr>
        <w:t xml:space="preserve">. </w:t>
      </w:r>
      <w:r w:rsidR="00D555F5">
        <w:rPr>
          <w:sz w:val="22"/>
          <w:szCs w:val="22"/>
          <w:bdr w:val="none" w:sz="0" w:space="0" w:color="auto" w:frame="1"/>
        </w:rPr>
        <w:t xml:space="preserve">In terms of the interview, investor applicants for citizenship are exempt from the condition of being proficient in the Bulgarian language, they do not need to show knowledge of public life in Bulgaria and there is no </w:t>
      </w:r>
      <w:r w:rsidR="00F44604">
        <w:rPr>
          <w:sz w:val="22"/>
          <w:szCs w:val="22"/>
          <w:bdr w:val="none" w:sz="0" w:space="0" w:color="auto" w:frame="1"/>
        </w:rPr>
        <w:t xml:space="preserve">other </w:t>
      </w:r>
      <w:r w:rsidR="00D555F5">
        <w:rPr>
          <w:sz w:val="22"/>
          <w:szCs w:val="22"/>
          <w:bdr w:val="none" w:sz="0" w:space="0" w:color="auto" w:frame="1"/>
        </w:rPr>
        <w:t>requirement to show a genuine link to Bulgaria.</w:t>
      </w:r>
    </w:p>
    <w:p w14:paraId="2671CA40" w14:textId="77777777" w:rsidR="00AB332A" w:rsidRDefault="00AB332A" w:rsidP="00AB332A">
      <w:pPr>
        <w:pStyle w:val="HTMLPreformatted"/>
        <w:jc w:val="both"/>
        <w:rPr>
          <w:rFonts w:ascii="Times New Roman" w:hAnsi="Times New Roman" w:cs="Times New Roman"/>
          <w:sz w:val="22"/>
          <w:szCs w:val="22"/>
        </w:rPr>
      </w:pPr>
    </w:p>
    <w:p w14:paraId="7668CDFE" w14:textId="69F34B3A" w:rsidR="00AB332A" w:rsidRPr="00C0098E" w:rsidRDefault="00AB332A" w:rsidP="00AB332A">
      <w:pPr>
        <w:pStyle w:val="HTMLPreformatted"/>
        <w:jc w:val="both"/>
        <w:rPr>
          <w:rFonts w:ascii="Times New Roman" w:hAnsi="Times New Roman" w:cs="Times New Roman"/>
          <w:sz w:val="22"/>
          <w:szCs w:val="22"/>
        </w:rPr>
      </w:pPr>
      <w:r w:rsidRPr="00C0098E">
        <w:rPr>
          <w:rFonts w:ascii="Times New Roman" w:hAnsi="Times New Roman" w:cs="Times New Roman"/>
          <w:sz w:val="22"/>
          <w:szCs w:val="22"/>
        </w:rPr>
        <w:t xml:space="preserve">Regarding due diligence and security checks, a </w:t>
      </w:r>
      <w:r w:rsidRPr="00C0098E">
        <w:rPr>
          <w:rFonts w:ascii="Times New Roman" w:hAnsi="Times New Roman" w:cs="Times New Roman"/>
          <w:b/>
          <w:sz w:val="22"/>
          <w:szCs w:val="22"/>
        </w:rPr>
        <w:t>clean criminal record certificate</w:t>
      </w:r>
      <w:r w:rsidRPr="00C0098E">
        <w:rPr>
          <w:rFonts w:ascii="Times New Roman" w:hAnsi="Times New Roman" w:cs="Times New Roman"/>
          <w:sz w:val="22"/>
          <w:szCs w:val="22"/>
        </w:rPr>
        <w:t xml:space="preserve"> and a document showing that no criminal proceedings </w:t>
      </w:r>
      <w:r w:rsidR="00BB330B">
        <w:rPr>
          <w:rFonts w:ascii="Times New Roman" w:hAnsi="Times New Roman" w:cs="Times New Roman"/>
          <w:sz w:val="22"/>
          <w:szCs w:val="22"/>
        </w:rPr>
        <w:t xml:space="preserve">are pending against the applicant </w:t>
      </w:r>
      <w:r w:rsidRPr="00C0098E">
        <w:rPr>
          <w:rFonts w:ascii="Times New Roman" w:hAnsi="Times New Roman" w:cs="Times New Roman"/>
          <w:sz w:val="22"/>
          <w:szCs w:val="22"/>
        </w:rPr>
        <w:t xml:space="preserve">have to be presented. </w:t>
      </w:r>
      <w:r w:rsidRPr="00C0098E">
        <w:rPr>
          <w:rFonts w:ascii="Times New Roman" w:hAnsi="Times New Roman" w:cs="Times New Roman"/>
          <w:sz w:val="22"/>
          <w:szCs w:val="22"/>
          <w:bdr w:val="none" w:sz="0" w:space="0" w:color="auto" w:frame="1"/>
        </w:rPr>
        <w:t xml:space="preserve">The Migration Directorate and the SANS, according to their competence and on the basis of operational judgment, carry out </w:t>
      </w:r>
      <w:r w:rsidRPr="00C0098E">
        <w:rPr>
          <w:rFonts w:ascii="Times New Roman" w:hAnsi="Times New Roman" w:cs="Times New Roman"/>
          <w:b/>
          <w:sz w:val="22"/>
          <w:szCs w:val="22"/>
          <w:bdr w:val="none" w:sz="0" w:space="0" w:color="auto" w:frame="1"/>
        </w:rPr>
        <w:t>checks in the databases</w:t>
      </w:r>
      <w:r w:rsidRPr="00C0098E">
        <w:rPr>
          <w:rFonts w:ascii="Times New Roman" w:hAnsi="Times New Roman" w:cs="Times New Roman"/>
          <w:sz w:val="22"/>
          <w:szCs w:val="22"/>
          <w:bdr w:val="none" w:sz="0" w:space="0" w:color="auto" w:frame="1"/>
        </w:rPr>
        <w:t xml:space="preserve"> to which they have access. </w:t>
      </w:r>
      <w:r w:rsidR="00BB330B" w:rsidRPr="00BB330B">
        <w:rPr>
          <w:rFonts w:ascii="Times New Roman" w:hAnsi="Times New Roman" w:cs="Times New Roman"/>
          <w:sz w:val="22"/>
          <w:szCs w:val="22"/>
          <w:bdr w:val="none" w:sz="0" w:space="0" w:color="auto" w:frame="1"/>
        </w:rPr>
        <w:t xml:space="preserve">There is </w:t>
      </w:r>
      <w:r w:rsidR="00BB330B" w:rsidRPr="00BB330B">
        <w:rPr>
          <w:rFonts w:ascii="Times New Roman" w:hAnsi="Times New Roman" w:cs="Times New Roman"/>
          <w:b/>
          <w:sz w:val="22"/>
          <w:szCs w:val="22"/>
          <w:bdr w:val="none" w:sz="0" w:space="0" w:color="auto" w:frame="1"/>
        </w:rPr>
        <w:t xml:space="preserve">no publicly available information </w:t>
      </w:r>
      <w:r w:rsidR="00C843A5">
        <w:rPr>
          <w:rFonts w:ascii="Times New Roman" w:hAnsi="Times New Roman" w:cs="Times New Roman"/>
          <w:b/>
          <w:sz w:val="22"/>
          <w:szCs w:val="22"/>
          <w:bdr w:val="none" w:sz="0" w:space="0" w:color="auto" w:frame="1"/>
        </w:rPr>
        <w:t xml:space="preserve">on </w:t>
      </w:r>
      <w:r w:rsidR="00BB330B" w:rsidRPr="00BB330B">
        <w:rPr>
          <w:rFonts w:ascii="Times New Roman" w:hAnsi="Times New Roman" w:cs="Times New Roman"/>
          <w:b/>
          <w:sz w:val="22"/>
          <w:szCs w:val="22"/>
          <w:bdr w:val="none" w:sz="0" w:space="0" w:color="auto" w:frame="1"/>
        </w:rPr>
        <w:t>the exact information databases</w:t>
      </w:r>
      <w:r w:rsidR="00BB330B">
        <w:rPr>
          <w:rFonts w:ascii="Times New Roman" w:hAnsi="Times New Roman" w:cs="Times New Roman"/>
          <w:sz w:val="22"/>
          <w:szCs w:val="22"/>
          <w:bdr w:val="none" w:sz="0" w:space="0" w:color="auto" w:frame="1"/>
        </w:rPr>
        <w:t xml:space="preserve"> (e.g. Schengen Information System, Europol, Interpol)</w:t>
      </w:r>
      <w:r w:rsidR="00BB330B" w:rsidRPr="00BB330B">
        <w:rPr>
          <w:rFonts w:ascii="Times New Roman" w:hAnsi="Times New Roman" w:cs="Times New Roman"/>
          <w:b/>
          <w:sz w:val="22"/>
          <w:szCs w:val="22"/>
          <w:bdr w:val="none" w:sz="0" w:space="0" w:color="auto" w:frame="1"/>
        </w:rPr>
        <w:t xml:space="preserve"> </w:t>
      </w:r>
      <w:r w:rsidR="00C843A5">
        <w:rPr>
          <w:rFonts w:ascii="Times New Roman" w:hAnsi="Times New Roman" w:cs="Times New Roman"/>
          <w:sz w:val="22"/>
          <w:szCs w:val="22"/>
          <w:bdr w:val="none" w:sz="0" w:space="0" w:color="auto" w:frame="1"/>
        </w:rPr>
        <w:t>they check</w:t>
      </w:r>
      <w:r w:rsidR="00BB330B" w:rsidRPr="00BB330B">
        <w:rPr>
          <w:rFonts w:ascii="Times New Roman" w:hAnsi="Times New Roman" w:cs="Times New Roman"/>
          <w:sz w:val="22"/>
          <w:szCs w:val="22"/>
          <w:bdr w:val="none" w:sz="0" w:space="0" w:color="auto" w:frame="1"/>
        </w:rPr>
        <w:t xml:space="preserve">. </w:t>
      </w:r>
      <w:r w:rsidR="00BB330B">
        <w:rPr>
          <w:rFonts w:ascii="Times New Roman" w:hAnsi="Times New Roman" w:cs="Times New Roman"/>
          <w:sz w:val="22"/>
          <w:szCs w:val="22"/>
          <w:bdr w:val="none" w:sz="0" w:space="0" w:color="auto" w:frame="1"/>
        </w:rPr>
        <w:t>Furthermore, t</w:t>
      </w:r>
      <w:r w:rsidRPr="00C0098E">
        <w:rPr>
          <w:rFonts w:ascii="Times New Roman" w:hAnsi="Times New Roman" w:cs="Times New Roman"/>
          <w:sz w:val="22"/>
          <w:szCs w:val="22"/>
          <w:bdr w:val="none" w:sz="0" w:space="0" w:color="auto" w:frame="1"/>
        </w:rPr>
        <w:t xml:space="preserve">he third country national </w:t>
      </w:r>
      <w:r w:rsidR="00BB330B">
        <w:rPr>
          <w:rFonts w:ascii="Times New Roman" w:hAnsi="Times New Roman" w:cs="Times New Roman"/>
          <w:sz w:val="22"/>
          <w:szCs w:val="22"/>
          <w:bdr w:val="none" w:sz="0" w:space="0" w:color="auto" w:frame="1"/>
        </w:rPr>
        <w:t xml:space="preserve">must </w:t>
      </w:r>
      <w:r w:rsidRPr="00C0098E">
        <w:rPr>
          <w:rFonts w:ascii="Times New Roman" w:hAnsi="Times New Roman" w:cs="Times New Roman"/>
          <w:sz w:val="22"/>
          <w:szCs w:val="22"/>
          <w:bdr w:val="none" w:sz="0" w:space="0" w:color="auto" w:frame="1"/>
        </w:rPr>
        <w:t xml:space="preserve">submit a </w:t>
      </w:r>
      <w:r w:rsidRPr="00C0098E">
        <w:rPr>
          <w:rFonts w:ascii="Times New Roman" w:hAnsi="Times New Roman" w:cs="Times New Roman"/>
          <w:b/>
          <w:sz w:val="22"/>
          <w:szCs w:val="22"/>
          <w:bdr w:val="none" w:sz="0" w:space="0" w:color="auto" w:frame="1"/>
        </w:rPr>
        <w:t>declaration of the origin of the funds</w:t>
      </w:r>
      <w:r w:rsidRPr="00C0098E">
        <w:rPr>
          <w:rFonts w:ascii="Times New Roman" w:hAnsi="Times New Roman" w:cs="Times New Roman"/>
          <w:sz w:val="22"/>
          <w:szCs w:val="22"/>
          <w:bdr w:val="none" w:sz="0" w:space="0" w:color="auto" w:frame="1"/>
        </w:rPr>
        <w:t xml:space="preserve"> and o</w:t>
      </w:r>
      <w:r w:rsidRPr="00C0098E">
        <w:rPr>
          <w:rFonts w:ascii="Times New Roman" w:hAnsi="Times New Roman" w:cs="Times New Roman"/>
          <w:bCs/>
          <w:sz w:val="22"/>
          <w:szCs w:val="22"/>
        </w:rPr>
        <w:t xml:space="preserve">nce financial assets are transferred into Bulgarian financial institutions, the investment becomes subject to the general provisions for due diligence covered under the Law on </w:t>
      </w:r>
      <w:r w:rsidRPr="00C0098E">
        <w:rPr>
          <w:rFonts w:ascii="Times New Roman" w:hAnsi="Times New Roman" w:cs="Times New Roman"/>
          <w:bCs/>
          <w:sz w:val="22"/>
          <w:szCs w:val="22"/>
        </w:rPr>
        <w:lastRenderedPageBreak/>
        <w:t>Measures against Money Laundering</w:t>
      </w:r>
      <w:r w:rsidR="00B6730B">
        <w:rPr>
          <w:rFonts w:ascii="Times New Roman" w:hAnsi="Times New Roman" w:cs="Times New Roman"/>
          <w:bCs/>
          <w:sz w:val="22"/>
          <w:szCs w:val="22"/>
        </w:rPr>
        <w:t>.</w:t>
      </w:r>
      <w:r w:rsidR="00C843A5" w:rsidRPr="00201FC3">
        <w:rPr>
          <w:sz w:val="22"/>
          <w:szCs w:val="22"/>
          <w:vertAlign w:val="superscript"/>
          <w:lang w:val="en-US"/>
        </w:rPr>
        <w:footnoteReference w:id="5"/>
      </w:r>
      <w:r w:rsidR="00BB330B">
        <w:rPr>
          <w:rFonts w:ascii="Times New Roman" w:hAnsi="Times New Roman" w:cs="Times New Roman"/>
          <w:bCs/>
          <w:sz w:val="22"/>
          <w:szCs w:val="22"/>
        </w:rPr>
        <w:t xml:space="preserve"> </w:t>
      </w:r>
      <w:r w:rsidR="00BB330B" w:rsidRPr="00BB330B">
        <w:rPr>
          <w:rFonts w:ascii="Times New Roman" w:hAnsi="Times New Roman" w:cs="Times New Roman"/>
          <w:bCs/>
          <w:sz w:val="22"/>
          <w:szCs w:val="22"/>
        </w:rPr>
        <w:t xml:space="preserve">All financial operations and procedures (investments and transfers included) over BGN 30 000 (EUR 15 000) and over BGN 10 000 (EUR 5 000) are under obligation to be carried out by an identified client with a valid bank account. Additionally, </w:t>
      </w:r>
      <w:r w:rsidR="00BB330B">
        <w:rPr>
          <w:rFonts w:ascii="Times New Roman" w:hAnsi="Times New Roman" w:cs="Times New Roman"/>
          <w:bCs/>
          <w:sz w:val="22"/>
          <w:szCs w:val="22"/>
        </w:rPr>
        <w:t xml:space="preserve">the </w:t>
      </w:r>
      <w:r w:rsidR="00BB330B" w:rsidRPr="00BB330B">
        <w:rPr>
          <w:rFonts w:ascii="Times New Roman" w:hAnsi="Times New Roman" w:cs="Times New Roman"/>
          <w:b/>
          <w:bCs/>
          <w:sz w:val="22"/>
          <w:szCs w:val="22"/>
        </w:rPr>
        <w:t xml:space="preserve">Financial Intelligence Directorate </w:t>
      </w:r>
      <w:r w:rsidR="00BB330B">
        <w:rPr>
          <w:rFonts w:ascii="Times New Roman" w:hAnsi="Times New Roman" w:cs="Times New Roman"/>
          <w:bCs/>
          <w:sz w:val="22"/>
          <w:szCs w:val="22"/>
        </w:rPr>
        <w:t xml:space="preserve">of </w:t>
      </w:r>
      <w:r w:rsidR="00BB330B" w:rsidRPr="008F682E">
        <w:rPr>
          <w:rFonts w:ascii="Times New Roman" w:hAnsi="Times New Roman" w:cs="Times New Roman"/>
          <w:bCs/>
          <w:sz w:val="22"/>
          <w:szCs w:val="22"/>
        </w:rPr>
        <w:t>SANS</w:t>
      </w:r>
      <w:r w:rsidR="00BB330B" w:rsidRPr="00BB330B">
        <w:rPr>
          <w:rFonts w:ascii="Times New Roman" w:hAnsi="Times New Roman" w:cs="Times New Roman"/>
          <w:b/>
          <w:bCs/>
          <w:sz w:val="22"/>
          <w:szCs w:val="22"/>
        </w:rPr>
        <w:t xml:space="preserve"> makes additional check</w:t>
      </w:r>
      <w:r w:rsidR="00BB330B" w:rsidRPr="00BB330B">
        <w:rPr>
          <w:rFonts w:ascii="Times New Roman" w:hAnsi="Times New Roman" w:cs="Times New Roman"/>
          <w:bCs/>
          <w:sz w:val="22"/>
          <w:szCs w:val="22"/>
        </w:rPr>
        <w:t>s on all cash payments of over BGN 30 000 (EUR 15 000)</w:t>
      </w:r>
      <w:r w:rsidR="00BB330B">
        <w:rPr>
          <w:rFonts w:ascii="Times New Roman" w:hAnsi="Times New Roman" w:cs="Times New Roman"/>
          <w:bCs/>
          <w:sz w:val="22"/>
          <w:szCs w:val="22"/>
        </w:rPr>
        <w:t>.</w:t>
      </w:r>
    </w:p>
    <w:p w14:paraId="347B958F" w14:textId="77777777" w:rsidR="00AB332A" w:rsidRDefault="00AB332A" w:rsidP="00402C02">
      <w:pPr>
        <w:spacing w:after="0" w:line="240" w:lineRule="auto"/>
        <w:jc w:val="both"/>
        <w:rPr>
          <w:sz w:val="22"/>
        </w:rPr>
      </w:pPr>
    </w:p>
    <w:p w14:paraId="7C64DDBC" w14:textId="1329CF1C" w:rsidR="005C3B7A" w:rsidRDefault="00CA08A8" w:rsidP="00402C02">
      <w:pPr>
        <w:spacing w:after="0" w:line="240" w:lineRule="auto"/>
        <w:jc w:val="both"/>
        <w:rPr>
          <w:sz w:val="22"/>
          <w:bdr w:val="none" w:sz="0" w:space="0" w:color="auto" w:frame="1"/>
        </w:rPr>
      </w:pPr>
      <w:r w:rsidRPr="001F000D">
        <w:rPr>
          <w:sz w:val="22"/>
        </w:rPr>
        <w:t xml:space="preserve">The </w:t>
      </w:r>
      <w:r w:rsidRPr="00FB3518">
        <w:rPr>
          <w:b/>
          <w:sz w:val="22"/>
        </w:rPr>
        <w:t>application procedure</w:t>
      </w:r>
      <w:r w:rsidRPr="001F000D">
        <w:rPr>
          <w:sz w:val="22"/>
        </w:rPr>
        <w:t xml:space="preserve"> under </w:t>
      </w:r>
      <w:r w:rsidRPr="00FB3518">
        <w:rPr>
          <w:sz w:val="22"/>
        </w:rPr>
        <w:t>Articles 12a and 14a</w:t>
      </w:r>
      <w:r w:rsidRPr="001F000D">
        <w:rPr>
          <w:sz w:val="22"/>
        </w:rPr>
        <w:t xml:space="preserve"> is similar. </w:t>
      </w:r>
      <w:r w:rsidRPr="001F000D">
        <w:rPr>
          <w:sz w:val="22"/>
          <w:bdr w:val="none" w:sz="0" w:space="0" w:color="auto" w:frame="1"/>
        </w:rPr>
        <w:t>The application</w:t>
      </w:r>
      <w:r w:rsidR="00FB3518">
        <w:rPr>
          <w:sz w:val="22"/>
          <w:bdr w:val="none" w:sz="0" w:space="0" w:color="auto" w:frame="1"/>
        </w:rPr>
        <w:t>,</w:t>
      </w:r>
      <w:r w:rsidRPr="001F000D">
        <w:rPr>
          <w:sz w:val="22"/>
          <w:bdr w:val="none" w:sz="0" w:space="0" w:color="auto" w:frame="1"/>
        </w:rPr>
        <w:t xml:space="preserve"> </w:t>
      </w:r>
      <w:r w:rsidR="00C843A5" w:rsidRPr="001F000D">
        <w:rPr>
          <w:b/>
          <w:sz w:val="22"/>
          <w:bdr w:val="none" w:sz="0" w:space="0" w:color="auto" w:frame="1"/>
        </w:rPr>
        <w:t>written in Bulgarian</w:t>
      </w:r>
      <w:r w:rsidR="00FB3518" w:rsidRPr="00FB3518">
        <w:rPr>
          <w:sz w:val="22"/>
          <w:bdr w:val="none" w:sz="0" w:space="0" w:color="auto" w:frame="1"/>
        </w:rPr>
        <w:t>,</w:t>
      </w:r>
      <w:r w:rsidR="00C843A5" w:rsidRPr="001F000D">
        <w:rPr>
          <w:sz w:val="22"/>
          <w:bdr w:val="none" w:sz="0" w:space="0" w:color="auto" w:frame="1"/>
        </w:rPr>
        <w:t xml:space="preserve"> </w:t>
      </w:r>
      <w:r w:rsidRPr="001F000D">
        <w:rPr>
          <w:sz w:val="22"/>
          <w:bdr w:val="none" w:sz="0" w:space="0" w:color="auto" w:frame="1"/>
        </w:rPr>
        <w:t xml:space="preserve">is filed </w:t>
      </w:r>
      <w:r w:rsidRPr="00BD3053">
        <w:rPr>
          <w:b/>
          <w:sz w:val="22"/>
          <w:bdr w:val="none" w:sz="0" w:space="0" w:color="auto" w:frame="1"/>
        </w:rPr>
        <w:t>in person</w:t>
      </w:r>
      <w:r w:rsidRPr="001658AF">
        <w:rPr>
          <w:sz w:val="22"/>
          <w:bdr w:val="none" w:sz="0" w:space="0" w:color="auto" w:frame="1"/>
        </w:rPr>
        <w:t xml:space="preserve"> </w:t>
      </w:r>
      <w:r w:rsidRPr="001F000D">
        <w:rPr>
          <w:sz w:val="22"/>
          <w:bdr w:val="none" w:sz="0" w:space="0" w:color="auto" w:frame="1"/>
        </w:rPr>
        <w:t xml:space="preserve">at the Ministry of Justice or diplomatic or consular representation of the Republic of Bulgaria </w:t>
      </w:r>
      <w:r w:rsidR="001658AF">
        <w:rPr>
          <w:sz w:val="22"/>
          <w:bdr w:val="none" w:sz="0" w:space="0" w:color="auto" w:frame="1"/>
        </w:rPr>
        <w:t>(</w:t>
      </w:r>
      <w:r w:rsidRPr="001F000D">
        <w:rPr>
          <w:sz w:val="22"/>
          <w:bdr w:val="none" w:sz="0" w:space="0" w:color="auto" w:frame="1"/>
        </w:rPr>
        <w:t>Article 29 of the BCA</w:t>
      </w:r>
      <w:r w:rsidR="001658AF">
        <w:rPr>
          <w:sz w:val="22"/>
          <w:bdr w:val="none" w:sz="0" w:space="0" w:color="auto" w:frame="1"/>
        </w:rPr>
        <w:t>)</w:t>
      </w:r>
      <w:r w:rsidR="00C843A5">
        <w:rPr>
          <w:sz w:val="22"/>
          <w:bdr w:val="none" w:sz="0" w:space="0" w:color="auto" w:frame="1"/>
        </w:rPr>
        <w:t xml:space="preserve">accompanied by </w:t>
      </w:r>
      <w:r w:rsidR="001F000D">
        <w:rPr>
          <w:sz w:val="22"/>
          <w:bdr w:val="none" w:sz="0" w:space="0" w:color="auto" w:frame="1"/>
        </w:rPr>
        <w:t xml:space="preserve">a series of </w:t>
      </w:r>
      <w:r w:rsidR="001F000D" w:rsidRPr="001F000D">
        <w:rPr>
          <w:b/>
          <w:sz w:val="22"/>
          <w:bdr w:val="none" w:sz="0" w:space="0" w:color="auto" w:frame="1"/>
        </w:rPr>
        <w:t>documents</w:t>
      </w:r>
      <w:r w:rsidR="001F000D">
        <w:rPr>
          <w:sz w:val="22"/>
          <w:bdr w:val="none" w:sz="0" w:space="0" w:color="auto" w:frame="1"/>
        </w:rPr>
        <w:t xml:space="preserve"> varying from those confirming </w:t>
      </w:r>
      <w:r w:rsidR="001F000D" w:rsidRPr="001F000D">
        <w:rPr>
          <w:b/>
          <w:sz w:val="22"/>
          <w:bdr w:val="none" w:sz="0" w:space="0" w:color="auto" w:frame="1"/>
        </w:rPr>
        <w:t>biographical data</w:t>
      </w:r>
      <w:r w:rsidR="001F000D">
        <w:rPr>
          <w:sz w:val="22"/>
          <w:bdr w:val="none" w:sz="0" w:space="0" w:color="auto" w:frame="1"/>
        </w:rPr>
        <w:t xml:space="preserve"> (passport, birth certificate, ID, CV), providing </w:t>
      </w:r>
      <w:r w:rsidR="001F000D" w:rsidRPr="001F000D">
        <w:rPr>
          <w:b/>
          <w:sz w:val="22"/>
          <w:bdr w:val="none" w:sz="0" w:space="0" w:color="auto" w:frame="1"/>
        </w:rPr>
        <w:t>background information</w:t>
      </w:r>
      <w:r w:rsidR="001F000D">
        <w:rPr>
          <w:sz w:val="22"/>
          <w:bdr w:val="none" w:sz="0" w:space="0" w:color="auto" w:frame="1"/>
        </w:rPr>
        <w:t xml:space="preserve"> (criminal record, certificate </w:t>
      </w:r>
      <w:r w:rsidR="001658AF">
        <w:rPr>
          <w:sz w:val="22"/>
          <w:bdr w:val="none" w:sz="0" w:space="0" w:color="auto" w:frame="1"/>
        </w:rPr>
        <w:t xml:space="preserve">validating the </w:t>
      </w:r>
      <w:r w:rsidR="001F000D">
        <w:rPr>
          <w:sz w:val="22"/>
          <w:bdr w:val="none" w:sz="0" w:space="0" w:color="auto" w:frame="1"/>
        </w:rPr>
        <w:t xml:space="preserve">possession of a permanent residence permit, medical certificate) and a list of </w:t>
      </w:r>
      <w:r w:rsidR="001F000D" w:rsidRPr="001F000D">
        <w:rPr>
          <w:b/>
          <w:sz w:val="22"/>
          <w:bdr w:val="none" w:sz="0" w:space="0" w:color="auto" w:frame="1"/>
        </w:rPr>
        <w:t>documents relating to the type of investment made</w:t>
      </w:r>
      <w:r w:rsidR="000B7E3D">
        <w:rPr>
          <w:b/>
          <w:sz w:val="22"/>
          <w:bdr w:val="none" w:sz="0" w:space="0" w:color="auto" w:frame="1"/>
        </w:rPr>
        <w:t xml:space="preserve"> </w:t>
      </w:r>
      <w:r w:rsidR="000B7E3D">
        <w:rPr>
          <w:sz w:val="22"/>
          <w:bdr w:val="none" w:sz="0" w:space="0" w:color="auto" w:frame="1"/>
        </w:rPr>
        <w:t xml:space="preserve">(mainly certificates from the competent authorities to validate that the investment has been carried out and it meets the legal conditions: e.g. certificate from credit institutions, document certifying the ownership of real estate, </w:t>
      </w:r>
      <w:r w:rsidR="000B7E3D" w:rsidRPr="000B7E3D">
        <w:rPr>
          <w:b/>
          <w:sz w:val="22"/>
          <w:bdr w:val="none" w:sz="0" w:space="0" w:color="auto" w:frame="1"/>
        </w:rPr>
        <w:t>certificate</w:t>
      </w:r>
      <w:r w:rsidR="000B7E3D" w:rsidRPr="000B7E3D">
        <w:rPr>
          <w:sz w:val="22"/>
          <w:bdr w:val="none" w:sz="0" w:space="0" w:color="auto" w:frame="1"/>
        </w:rPr>
        <w:t xml:space="preserve"> from the Privatization and Post-</w:t>
      </w:r>
      <w:r w:rsidR="009E7A99" w:rsidRPr="000B7E3D">
        <w:rPr>
          <w:sz w:val="22"/>
          <w:bdr w:val="none" w:sz="0" w:space="0" w:color="auto" w:frame="1"/>
        </w:rPr>
        <w:t>Privati</w:t>
      </w:r>
      <w:r w:rsidR="009E7A99">
        <w:rPr>
          <w:sz w:val="22"/>
          <w:bdr w:val="none" w:sz="0" w:space="0" w:color="auto" w:frame="1"/>
        </w:rPr>
        <w:t>s</w:t>
      </w:r>
      <w:r w:rsidR="009E7A99" w:rsidRPr="000B7E3D">
        <w:rPr>
          <w:sz w:val="22"/>
          <w:bdr w:val="none" w:sz="0" w:space="0" w:color="auto" w:frame="1"/>
        </w:rPr>
        <w:t xml:space="preserve">ation </w:t>
      </w:r>
      <w:r w:rsidR="000B7E3D" w:rsidRPr="000B7E3D">
        <w:rPr>
          <w:sz w:val="22"/>
          <w:bdr w:val="none" w:sz="0" w:space="0" w:color="auto" w:frame="1"/>
        </w:rPr>
        <w:t>Agency</w:t>
      </w:r>
      <w:r w:rsidR="00B6730B">
        <w:rPr>
          <w:sz w:val="22"/>
          <w:bdr w:val="none" w:sz="0" w:space="0" w:color="auto" w:frame="1"/>
        </w:rPr>
        <w:t>,</w:t>
      </w:r>
      <w:r w:rsidR="000B7E3D" w:rsidRPr="000B7E3D">
        <w:rPr>
          <w:sz w:val="22"/>
          <w:bdr w:val="none" w:sz="0" w:space="0" w:color="auto" w:frame="1"/>
          <w:vertAlign w:val="superscript"/>
        </w:rPr>
        <w:footnoteReference w:id="6"/>
      </w:r>
      <w:r w:rsidR="00AB332A">
        <w:rPr>
          <w:sz w:val="22"/>
          <w:bdr w:val="none" w:sz="0" w:space="0" w:color="auto" w:frame="1"/>
        </w:rPr>
        <w:t xml:space="preserve"> etc.)</w:t>
      </w:r>
      <w:r w:rsidR="001F000D" w:rsidRPr="00B6730B">
        <w:rPr>
          <w:sz w:val="22"/>
          <w:bdr w:val="none" w:sz="0" w:space="0" w:color="auto" w:frame="1"/>
        </w:rPr>
        <w:t>.</w:t>
      </w:r>
      <w:r w:rsidR="001F000D">
        <w:rPr>
          <w:sz w:val="22"/>
          <w:bdr w:val="none" w:sz="0" w:space="0" w:color="auto" w:frame="1"/>
        </w:rPr>
        <w:t xml:space="preserve"> </w:t>
      </w:r>
    </w:p>
    <w:p w14:paraId="183A073C" w14:textId="05344917" w:rsidR="001F000D" w:rsidRDefault="001F000D" w:rsidP="00402C02">
      <w:pPr>
        <w:spacing w:after="0" w:line="240" w:lineRule="auto"/>
        <w:jc w:val="both"/>
        <w:rPr>
          <w:color w:val="FF0000"/>
          <w:sz w:val="24"/>
          <w:szCs w:val="22"/>
        </w:rPr>
      </w:pPr>
    </w:p>
    <w:p w14:paraId="5FEED284" w14:textId="3AECACF9" w:rsidR="001F000D" w:rsidRPr="001F000D" w:rsidRDefault="001F000D" w:rsidP="00402C02">
      <w:pPr>
        <w:spacing w:after="0" w:line="240" w:lineRule="auto"/>
        <w:jc w:val="both"/>
        <w:rPr>
          <w:sz w:val="22"/>
          <w:szCs w:val="22"/>
          <w:bdr w:val="none" w:sz="0" w:space="0" w:color="auto" w:frame="1"/>
        </w:rPr>
      </w:pPr>
      <w:r>
        <w:rPr>
          <w:sz w:val="22"/>
          <w:szCs w:val="22"/>
          <w:bdr w:val="none" w:sz="0" w:space="0" w:color="auto" w:frame="1"/>
        </w:rPr>
        <w:t xml:space="preserve">After submitting the documents, the applicant is then </w:t>
      </w:r>
      <w:r>
        <w:rPr>
          <w:b/>
          <w:sz w:val="22"/>
          <w:szCs w:val="22"/>
          <w:bdr w:val="none" w:sz="0" w:space="0" w:color="auto" w:frame="1"/>
        </w:rPr>
        <w:t>interviewed by a member of the administration of the Minister of Justice</w:t>
      </w:r>
      <w:r w:rsidR="00AB332A">
        <w:rPr>
          <w:sz w:val="22"/>
          <w:szCs w:val="22"/>
          <w:bdr w:val="none" w:sz="0" w:space="0" w:color="auto" w:frame="1"/>
        </w:rPr>
        <w:t xml:space="preserve"> (or, if the application has been submitted abroad, with a member of the diplomatic or consular mission)</w:t>
      </w:r>
      <w:r>
        <w:rPr>
          <w:sz w:val="22"/>
          <w:szCs w:val="22"/>
          <w:bdr w:val="none" w:sz="0" w:space="0" w:color="auto" w:frame="1"/>
        </w:rPr>
        <w:t xml:space="preserve">. </w:t>
      </w:r>
      <w:r w:rsidRPr="001F000D">
        <w:rPr>
          <w:sz w:val="22"/>
          <w:szCs w:val="22"/>
          <w:bdr w:val="none" w:sz="0" w:space="0" w:color="auto" w:frame="1"/>
        </w:rPr>
        <w:t xml:space="preserve">The files contained in the application are </w:t>
      </w:r>
      <w:r w:rsidR="00AB332A">
        <w:rPr>
          <w:sz w:val="22"/>
          <w:szCs w:val="22"/>
          <w:bdr w:val="none" w:sz="0" w:space="0" w:color="auto" w:frame="1"/>
        </w:rPr>
        <w:t xml:space="preserve">then </w:t>
      </w:r>
      <w:r w:rsidRPr="001F000D">
        <w:rPr>
          <w:sz w:val="22"/>
          <w:szCs w:val="22"/>
          <w:bdr w:val="none" w:sz="0" w:space="0" w:color="auto" w:frame="1"/>
        </w:rPr>
        <w:t xml:space="preserve">considered by the </w:t>
      </w:r>
      <w:r w:rsidRPr="00BD3053">
        <w:rPr>
          <w:b/>
          <w:sz w:val="22"/>
          <w:szCs w:val="22"/>
          <w:bdr w:val="none" w:sz="0" w:space="0" w:color="auto" w:frame="1"/>
        </w:rPr>
        <w:t>Council for Citizenship</w:t>
      </w:r>
      <w:r w:rsidRPr="001F000D">
        <w:rPr>
          <w:sz w:val="22"/>
          <w:szCs w:val="22"/>
          <w:bdr w:val="none" w:sz="0" w:space="0" w:color="auto" w:frame="1"/>
        </w:rPr>
        <w:t xml:space="preserve"> </w:t>
      </w:r>
      <w:r>
        <w:rPr>
          <w:sz w:val="22"/>
          <w:szCs w:val="22"/>
          <w:bdr w:val="none" w:sz="0" w:space="0" w:color="auto" w:frame="1"/>
        </w:rPr>
        <w:t xml:space="preserve">which </w:t>
      </w:r>
      <w:r w:rsidRPr="001F000D">
        <w:rPr>
          <w:sz w:val="22"/>
          <w:szCs w:val="22"/>
          <w:bdr w:val="none" w:sz="0" w:space="0" w:color="auto" w:frame="1"/>
        </w:rPr>
        <w:t xml:space="preserve">gives its </w:t>
      </w:r>
      <w:r w:rsidRPr="00BD3053">
        <w:rPr>
          <w:b/>
          <w:sz w:val="22"/>
          <w:szCs w:val="22"/>
          <w:bdr w:val="none" w:sz="0" w:space="0" w:color="auto" w:frame="1"/>
        </w:rPr>
        <w:t xml:space="preserve">opinion </w:t>
      </w:r>
      <w:r w:rsidR="00BD3053">
        <w:rPr>
          <w:sz w:val="22"/>
          <w:szCs w:val="22"/>
          <w:bdr w:val="none" w:sz="0" w:space="0" w:color="auto" w:frame="1"/>
        </w:rPr>
        <w:t>at</w:t>
      </w:r>
      <w:r w:rsidR="00AB332A">
        <w:rPr>
          <w:sz w:val="22"/>
          <w:szCs w:val="22"/>
          <w:bdr w:val="none" w:sz="0" w:space="0" w:color="auto" w:frame="1"/>
        </w:rPr>
        <w:t xml:space="preserve"> the request of</w:t>
      </w:r>
      <w:r w:rsidRPr="001F000D">
        <w:rPr>
          <w:sz w:val="22"/>
          <w:szCs w:val="22"/>
          <w:bdr w:val="none" w:sz="0" w:space="0" w:color="auto" w:frame="1"/>
        </w:rPr>
        <w:t xml:space="preserve"> the Director of Migration Directorate and the </w:t>
      </w:r>
      <w:r w:rsidR="009E7A99">
        <w:rPr>
          <w:sz w:val="22"/>
          <w:szCs w:val="22"/>
          <w:bdr w:val="none" w:sz="0" w:space="0" w:color="auto" w:frame="1"/>
        </w:rPr>
        <w:t>SANS</w:t>
      </w:r>
      <w:r w:rsidRPr="001F000D">
        <w:rPr>
          <w:sz w:val="22"/>
          <w:szCs w:val="22"/>
          <w:bdr w:val="none" w:sz="0" w:space="0" w:color="auto" w:frame="1"/>
        </w:rPr>
        <w:t xml:space="preserve">. Based on the opinion of the Council for Citizenship, the Minister of Justice proposes to the </w:t>
      </w:r>
      <w:r w:rsidRPr="00BD3053">
        <w:rPr>
          <w:b/>
          <w:sz w:val="22"/>
          <w:szCs w:val="22"/>
          <w:bdr w:val="none" w:sz="0" w:space="0" w:color="auto" w:frame="1"/>
        </w:rPr>
        <w:t xml:space="preserve">President </w:t>
      </w:r>
      <w:r w:rsidRPr="001F000D">
        <w:rPr>
          <w:sz w:val="22"/>
          <w:szCs w:val="22"/>
          <w:bdr w:val="none" w:sz="0" w:space="0" w:color="auto" w:frame="1"/>
        </w:rPr>
        <w:t xml:space="preserve">to issue or refuse to issue a </w:t>
      </w:r>
      <w:r w:rsidRPr="00BD3053">
        <w:rPr>
          <w:b/>
          <w:sz w:val="22"/>
          <w:szCs w:val="22"/>
          <w:bdr w:val="none" w:sz="0" w:space="0" w:color="auto" w:frame="1"/>
        </w:rPr>
        <w:t>decree on the acquisition of Bulgarian citizenship</w:t>
      </w:r>
      <w:r w:rsidRPr="001F000D">
        <w:rPr>
          <w:sz w:val="22"/>
          <w:szCs w:val="22"/>
          <w:bdr w:val="none" w:sz="0" w:space="0" w:color="auto" w:frame="1"/>
        </w:rPr>
        <w:t>.</w:t>
      </w:r>
    </w:p>
    <w:p w14:paraId="680F08F0" w14:textId="77777777" w:rsidR="001F000D" w:rsidRPr="001F000D" w:rsidRDefault="001F000D" w:rsidP="00402C02">
      <w:pPr>
        <w:spacing w:after="0" w:line="240" w:lineRule="auto"/>
        <w:jc w:val="both"/>
        <w:rPr>
          <w:sz w:val="22"/>
          <w:szCs w:val="22"/>
          <w:bdr w:val="none" w:sz="0" w:space="0" w:color="auto" w:frame="1"/>
        </w:rPr>
      </w:pPr>
    </w:p>
    <w:p w14:paraId="41E4A4FD" w14:textId="5EC23A58" w:rsidR="001F000D" w:rsidRDefault="001F000D" w:rsidP="00402C02">
      <w:pPr>
        <w:spacing w:after="0" w:line="240" w:lineRule="auto"/>
        <w:jc w:val="both"/>
        <w:rPr>
          <w:sz w:val="22"/>
          <w:szCs w:val="22"/>
          <w:bdr w:val="none" w:sz="0" w:space="0" w:color="auto" w:frame="1"/>
        </w:rPr>
      </w:pPr>
      <w:r w:rsidRPr="001F000D">
        <w:rPr>
          <w:b/>
          <w:sz w:val="22"/>
          <w:szCs w:val="22"/>
          <w:bdr w:val="none" w:sz="0" w:space="0" w:color="auto" w:frame="1"/>
        </w:rPr>
        <w:t>The refusal to issue a decree is final and cannot be appealed</w:t>
      </w:r>
      <w:r w:rsidRPr="001F000D">
        <w:rPr>
          <w:sz w:val="22"/>
          <w:szCs w:val="22"/>
          <w:bdr w:val="none" w:sz="0" w:space="0" w:color="auto" w:frame="1"/>
        </w:rPr>
        <w:t xml:space="preserve">. Refusal to issue a decree may be justified for reasons of </w:t>
      </w:r>
      <w:r w:rsidRPr="001F000D">
        <w:rPr>
          <w:b/>
          <w:sz w:val="22"/>
          <w:szCs w:val="22"/>
          <w:bdr w:val="none" w:sz="0" w:space="0" w:color="auto" w:frame="1"/>
        </w:rPr>
        <w:t>public order, public morality, public health and/or national security</w:t>
      </w:r>
      <w:r w:rsidRPr="001F000D">
        <w:rPr>
          <w:sz w:val="22"/>
          <w:szCs w:val="22"/>
          <w:bdr w:val="none" w:sz="0" w:space="0" w:color="auto" w:frame="1"/>
        </w:rPr>
        <w:t xml:space="preserve"> (Article 19 of the BCA). </w:t>
      </w:r>
    </w:p>
    <w:p w14:paraId="27E3B544" w14:textId="098F4A69" w:rsidR="00BD3053" w:rsidRDefault="00BD3053" w:rsidP="00402C02">
      <w:pPr>
        <w:spacing w:after="0" w:line="240" w:lineRule="auto"/>
        <w:jc w:val="both"/>
        <w:rPr>
          <w:sz w:val="22"/>
          <w:szCs w:val="22"/>
          <w:bdr w:val="none" w:sz="0" w:space="0" w:color="auto" w:frame="1"/>
        </w:rPr>
      </w:pPr>
    </w:p>
    <w:p w14:paraId="4FBE98B3" w14:textId="7CCE5635" w:rsidR="001F000D" w:rsidRPr="00BD3053" w:rsidRDefault="001F000D" w:rsidP="00402C02">
      <w:pPr>
        <w:spacing w:after="0" w:line="240" w:lineRule="auto"/>
        <w:jc w:val="both"/>
        <w:rPr>
          <w:sz w:val="22"/>
          <w:szCs w:val="22"/>
          <w:bdr w:val="none" w:sz="0" w:space="0" w:color="auto" w:frame="1"/>
        </w:rPr>
      </w:pPr>
      <w:r w:rsidRPr="001F000D">
        <w:rPr>
          <w:sz w:val="22"/>
        </w:rPr>
        <w:t xml:space="preserve">There is </w:t>
      </w:r>
      <w:r w:rsidRPr="001F000D">
        <w:rPr>
          <w:b/>
          <w:sz w:val="22"/>
        </w:rPr>
        <w:t>no limitation on the number of admissions to citizenship by investment</w:t>
      </w:r>
      <w:r w:rsidRPr="001F000D">
        <w:rPr>
          <w:sz w:val="22"/>
        </w:rPr>
        <w:t xml:space="preserve"> in Bulgaria</w:t>
      </w:r>
      <w:r w:rsidR="00F54C9E">
        <w:rPr>
          <w:sz w:val="22"/>
        </w:rPr>
        <w:t>.</w:t>
      </w:r>
      <w:r w:rsidR="00BB372D">
        <w:rPr>
          <w:sz w:val="22"/>
        </w:rPr>
        <w:t xml:space="preserve"> </w:t>
      </w:r>
    </w:p>
    <w:p w14:paraId="392CE17E" w14:textId="36C4EBBB" w:rsidR="00D137C2" w:rsidRDefault="00D137C2" w:rsidP="00402C02">
      <w:pPr>
        <w:pStyle w:val="MMultilevel"/>
        <w:numPr>
          <w:ilvl w:val="0"/>
          <w:numId w:val="0"/>
        </w:numPr>
        <w:rPr>
          <w:b/>
          <w:i/>
          <w:sz w:val="20"/>
          <w:szCs w:val="20"/>
          <w:lang w:val="en-GB"/>
        </w:rPr>
      </w:pPr>
      <w:bookmarkStart w:id="2" w:name="_Hlk512356075"/>
    </w:p>
    <w:p w14:paraId="748059F6" w14:textId="77777777" w:rsidR="00337204" w:rsidRPr="005C3B7A" w:rsidRDefault="00337204" w:rsidP="00337204">
      <w:pPr>
        <w:spacing w:after="0" w:line="240" w:lineRule="auto"/>
        <w:jc w:val="both"/>
        <w:outlineLvl w:val="0"/>
        <w:rPr>
          <w:b/>
          <w:i/>
          <w:sz w:val="22"/>
          <w:szCs w:val="22"/>
        </w:rPr>
      </w:pPr>
      <w:r w:rsidRPr="005C3B7A">
        <w:rPr>
          <w:b/>
          <w:i/>
          <w:sz w:val="22"/>
          <w:szCs w:val="22"/>
        </w:rPr>
        <w:t>Investors’ Residence Schemes</w:t>
      </w:r>
    </w:p>
    <w:p w14:paraId="572A07E2" w14:textId="77777777" w:rsidR="00BD3053" w:rsidRDefault="00BD3053" w:rsidP="00402C02">
      <w:pPr>
        <w:spacing w:after="0" w:line="240" w:lineRule="auto"/>
        <w:jc w:val="both"/>
        <w:rPr>
          <w:sz w:val="22"/>
          <w:szCs w:val="22"/>
          <w:lang w:val="en-US" w:eastAsia="en-GB"/>
        </w:rPr>
      </w:pPr>
    </w:p>
    <w:p w14:paraId="414419DE" w14:textId="65ADC9F7" w:rsidR="00402C02" w:rsidRDefault="00402C02" w:rsidP="00402C02">
      <w:pPr>
        <w:spacing w:after="0" w:line="240" w:lineRule="auto"/>
        <w:jc w:val="both"/>
        <w:rPr>
          <w:sz w:val="22"/>
          <w:szCs w:val="22"/>
          <w:lang w:eastAsia="en-GB"/>
        </w:rPr>
      </w:pPr>
      <w:r>
        <w:rPr>
          <w:sz w:val="22"/>
          <w:szCs w:val="22"/>
          <w:lang w:val="en-US" w:eastAsia="en-GB"/>
        </w:rPr>
        <w:t>There are two</w:t>
      </w:r>
      <w:r>
        <w:rPr>
          <w:sz w:val="22"/>
          <w:szCs w:val="22"/>
          <w:lang w:eastAsia="en-GB"/>
        </w:rPr>
        <w:t xml:space="preserve"> types of residence permits for third-country nationals to obtain via investors’ schemes</w:t>
      </w:r>
      <w:r w:rsidR="00874228">
        <w:rPr>
          <w:sz w:val="22"/>
          <w:szCs w:val="22"/>
          <w:lang w:eastAsia="en-GB"/>
        </w:rPr>
        <w:t xml:space="preserve"> depending on the investment they make</w:t>
      </w:r>
      <w:r>
        <w:rPr>
          <w:sz w:val="22"/>
          <w:szCs w:val="22"/>
          <w:lang w:eastAsia="en-GB"/>
        </w:rPr>
        <w:t>:</w:t>
      </w:r>
      <w:r w:rsidRPr="00B6730B">
        <w:rPr>
          <w:rStyle w:val="FootnoteReference"/>
          <w:sz w:val="22"/>
          <w:szCs w:val="22"/>
          <w:lang w:eastAsia="en-GB"/>
        </w:rPr>
        <w:footnoteReference w:id="7"/>
      </w:r>
    </w:p>
    <w:p w14:paraId="6CA11E5B" w14:textId="63727D69" w:rsidR="00402C02" w:rsidRPr="003855DE" w:rsidRDefault="00BB372D" w:rsidP="00402C02">
      <w:pPr>
        <w:pStyle w:val="ListParagraph"/>
        <w:numPr>
          <w:ilvl w:val="0"/>
          <w:numId w:val="19"/>
        </w:numPr>
        <w:spacing w:after="0" w:line="240" w:lineRule="auto"/>
        <w:jc w:val="both"/>
        <w:rPr>
          <w:sz w:val="22"/>
          <w:szCs w:val="22"/>
          <w:lang w:eastAsia="en-GB"/>
        </w:rPr>
      </w:pPr>
      <w:r>
        <w:rPr>
          <w:b/>
          <w:sz w:val="22"/>
          <w:szCs w:val="22"/>
          <w:lang w:eastAsia="en-GB"/>
        </w:rPr>
        <w:t xml:space="preserve">Article 24 FNA: </w:t>
      </w:r>
      <w:r w:rsidR="00402C02" w:rsidRPr="003855DE">
        <w:rPr>
          <w:b/>
          <w:sz w:val="22"/>
          <w:szCs w:val="22"/>
          <w:lang w:eastAsia="en-GB"/>
        </w:rPr>
        <w:t>Extended residence permit</w:t>
      </w:r>
      <w:r w:rsidR="00402C02" w:rsidRPr="003855DE">
        <w:rPr>
          <w:sz w:val="22"/>
          <w:szCs w:val="22"/>
          <w:lang w:eastAsia="en-GB"/>
        </w:rPr>
        <w:t xml:space="preserve"> – with a term of validity of </w:t>
      </w:r>
      <w:r w:rsidR="00402C02" w:rsidRPr="003855DE">
        <w:rPr>
          <w:b/>
          <w:sz w:val="22"/>
          <w:szCs w:val="22"/>
          <w:lang w:eastAsia="en-GB"/>
        </w:rPr>
        <w:t>up to one year</w:t>
      </w:r>
      <w:r w:rsidR="00402C02" w:rsidRPr="00B6730B">
        <w:rPr>
          <w:rStyle w:val="FootnoteReference"/>
          <w:sz w:val="22"/>
          <w:szCs w:val="22"/>
          <w:lang w:eastAsia="en-GB"/>
        </w:rPr>
        <w:footnoteReference w:id="8"/>
      </w:r>
    </w:p>
    <w:p w14:paraId="7C16788C" w14:textId="26FB42DC" w:rsidR="00402C02" w:rsidRPr="003855DE" w:rsidRDefault="00BB372D" w:rsidP="00402C02">
      <w:pPr>
        <w:pStyle w:val="ListParagraph"/>
        <w:numPr>
          <w:ilvl w:val="0"/>
          <w:numId w:val="19"/>
        </w:numPr>
        <w:spacing w:after="0" w:line="240" w:lineRule="auto"/>
        <w:jc w:val="both"/>
        <w:rPr>
          <w:sz w:val="22"/>
          <w:szCs w:val="22"/>
          <w:lang w:eastAsia="en-GB"/>
        </w:rPr>
      </w:pPr>
      <w:r>
        <w:rPr>
          <w:b/>
          <w:sz w:val="22"/>
          <w:szCs w:val="22"/>
          <w:lang w:eastAsia="en-GB"/>
        </w:rPr>
        <w:t xml:space="preserve">Article 25 FNA: </w:t>
      </w:r>
      <w:r w:rsidR="00402C02" w:rsidRPr="003855DE">
        <w:rPr>
          <w:b/>
          <w:sz w:val="22"/>
          <w:szCs w:val="22"/>
          <w:lang w:eastAsia="en-GB"/>
        </w:rPr>
        <w:t>Permanent residence permit</w:t>
      </w:r>
      <w:r w:rsidR="00402C02" w:rsidRPr="003855DE">
        <w:rPr>
          <w:sz w:val="22"/>
          <w:szCs w:val="22"/>
          <w:lang w:eastAsia="en-GB"/>
        </w:rPr>
        <w:t xml:space="preserve"> – for an </w:t>
      </w:r>
      <w:r w:rsidR="00402C02" w:rsidRPr="003855DE">
        <w:rPr>
          <w:b/>
          <w:sz w:val="22"/>
          <w:szCs w:val="22"/>
          <w:lang w:eastAsia="en-GB"/>
        </w:rPr>
        <w:t>indefinite period of time</w:t>
      </w:r>
      <w:r w:rsidR="00402C02" w:rsidRPr="003855DE">
        <w:rPr>
          <w:sz w:val="22"/>
          <w:szCs w:val="22"/>
          <w:lang w:eastAsia="en-GB"/>
        </w:rPr>
        <w:t>,</w:t>
      </w:r>
    </w:p>
    <w:p w14:paraId="051B9DDB" w14:textId="77777777" w:rsidR="00402C02" w:rsidRDefault="00402C02" w:rsidP="00402C02">
      <w:pPr>
        <w:spacing w:after="0" w:line="240" w:lineRule="auto"/>
        <w:jc w:val="both"/>
        <w:rPr>
          <w:b/>
          <w:sz w:val="22"/>
          <w:szCs w:val="22"/>
        </w:rPr>
      </w:pPr>
    </w:p>
    <w:p w14:paraId="0F838BF1" w14:textId="2CD82057" w:rsidR="00402C02" w:rsidRDefault="00402C02" w:rsidP="00402C02">
      <w:pPr>
        <w:spacing w:after="0" w:line="240" w:lineRule="auto"/>
        <w:jc w:val="both"/>
        <w:rPr>
          <w:sz w:val="22"/>
          <w:szCs w:val="22"/>
          <w:lang w:eastAsia="en-GB"/>
        </w:rPr>
      </w:pPr>
      <w:r>
        <w:rPr>
          <w:b/>
          <w:sz w:val="22"/>
          <w:szCs w:val="22"/>
        </w:rPr>
        <w:t>The prerequisite for an application for an extended residence or permanent residence permit</w:t>
      </w:r>
      <w:r>
        <w:rPr>
          <w:sz w:val="22"/>
          <w:szCs w:val="22"/>
        </w:rPr>
        <w:t xml:space="preserve"> is that the third-country investor holds a </w:t>
      </w:r>
      <w:r>
        <w:rPr>
          <w:b/>
          <w:sz w:val="22"/>
          <w:szCs w:val="22"/>
        </w:rPr>
        <w:t>long-stay visa</w:t>
      </w:r>
      <w:r>
        <w:rPr>
          <w:sz w:val="22"/>
          <w:szCs w:val="22"/>
        </w:rPr>
        <w:t xml:space="preserve"> </w:t>
      </w:r>
      <w:r w:rsidR="00874228">
        <w:rPr>
          <w:sz w:val="22"/>
          <w:szCs w:val="22"/>
        </w:rPr>
        <w:t>(</w:t>
      </w:r>
      <w:r>
        <w:rPr>
          <w:sz w:val="22"/>
          <w:szCs w:val="22"/>
        </w:rPr>
        <w:t>Article 15 of the FNA</w:t>
      </w:r>
      <w:r w:rsidR="00874228">
        <w:rPr>
          <w:sz w:val="22"/>
          <w:szCs w:val="22"/>
        </w:rPr>
        <w:t xml:space="preserve">) for which they have to apply for at the </w:t>
      </w:r>
      <w:r w:rsidR="00874228" w:rsidRPr="00874228">
        <w:rPr>
          <w:b/>
          <w:sz w:val="22"/>
          <w:szCs w:val="22"/>
        </w:rPr>
        <w:t>diplomatic and consular representations</w:t>
      </w:r>
      <w:r w:rsidR="00874228" w:rsidRPr="00874228">
        <w:rPr>
          <w:sz w:val="22"/>
          <w:szCs w:val="22"/>
        </w:rPr>
        <w:t xml:space="preserve"> </w:t>
      </w:r>
      <w:r w:rsidR="00874228" w:rsidRPr="00874228">
        <w:rPr>
          <w:b/>
          <w:sz w:val="22"/>
          <w:szCs w:val="22"/>
        </w:rPr>
        <w:t>of the Republic of Bulgaria</w:t>
      </w:r>
      <w:r w:rsidR="00874228" w:rsidRPr="00874228">
        <w:rPr>
          <w:sz w:val="22"/>
          <w:szCs w:val="22"/>
        </w:rPr>
        <w:t xml:space="preserve"> not earlier than </w:t>
      </w:r>
      <w:r w:rsidR="00874228" w:rsidRPr="00874228">
        <w:rPr>
          <w:b/>
          <w:sz w:val="22"/>
          <w:szCs w:val="22"/>
        </w:rPr>
        <w:lastRenderedPageBreak/>
        <w:t>three months before the date of the intended travel</w:t>
      </w:r>
      <w:r w:rsidR="00B6730B" w:rsidRPr="00B6730B">
        <w:rPr>
          <w:sz w:val="22"/>
          <w:szCs w:val="22"/>
        </w:rPr>
        <w:t>,</w:t>
      </w:r>
      <w:r w:rsidR="00874228" w:rsidRPr="00B6730B">
        <w:rPr>
          <w:sz w:val="22"/>
          <w:szCs w:val="22"/>
          <w:vertAlign w:val="superscript"/>
        </w:rPr>
        <w:footnoteReference w:id="9"/>
      </w:r>
      <w:r w:rsidR="00874228" w:rsidRPr="00874228">
        <w:rPr>
          <w:sz w:val="22"/>
          <w:szCs w:val="22"/>
        </w:rPr>
        <w:t xml:space="preserve"> </w:t>
      </w:r>
      <w:r w:rsidR="00874228" w:rsidRPr="00874228">
        <w:rPr>
          <w:b/>
          <w:sz w:val="22"/>
          <w:szCs w:val="22"/>
        </w:rPr>
        <w:t xml:space="preserve">personally or through an </w:t>
      </w:r>
      <w:r w:rsidR="00BB372D" w:rsidRPr="00874228">
        <w:rPr>
          <w:b/>
          <w:sz w:val="22"/>
          <w:szCs w:val="22"/>
        </w:rPr>
        <w:t>authori</w:t>
      </w:r>
      <w:r w:rsidR="00BB372D">
        <w:rPr>
          <w:b/>
          <w:sz w:val="22"/>
          <w:szCs w:val="22"/>
        </w:rPr>
        <w:t>s</w:t>
      </w:r>
      <w:r w:rsidR="00BB372D" w:rsidRPr="00874228">
        <w:rPr>
          <w:b/>
          <w:sz w:val="22"/>
          <w:szCs w:val="22"/>
        </w:rPr>
        <w:t xml:space="preserve">ed </w:t>
      </w:r>
      <w:r w:rsidR="00874228" w:rsidRPr="00874228">
        <w:rPr>
          <w:b/>
          <w:sz w:val="22"/>
          <w:szCs w:val="22"/>
        </w:rPr>
        <w:t>agent</w:t>
      </w:r>
      <w:r w:rsidR="00874228" w:rsidRPr="00874228">
        <w:rPr>
          <w:sz w:val="22"/>
          <w:szCs w:val="22"/>
        </w:rPr>
        <w:t>.</w:t>
      </w:r>
      <w:r w:rsidR="00874228" w:rsidRPr="00874228">
        <w:rPr>
          <w:sz w:val="22"/>
          <w:szCs w:val="22"/>
          <w:vertAlign w:val="superscript"/>
        </w:rPr>
        <w:footnoteReference w:id="10"/>
      </w:r>
      <w:r>
        <w:rPr>
          <w:sz w:val="22"/>
          <w:szCs w:val="22"/>
        </w:rPr>
        <w:t xml:space="preserve"> </w:t>
      </w:r>
      <w:r>
        <w:rPr>
          <w:sz w:val="22"/>
          <w:szCs w:val="22"/>
          <w:lang w:eastAsia="en-GB"/>
        </w:rPr>
        <w:t xml:space="preserve">This long-stay visa is </w:t>
      </w:r>
      <w:r>
        <w:rPr>
          <w:b/>
          <w:sz w:val="22"/>
          <w:szCs w:val="22"/>
          <w:lang w:eastAsia="en-GB"/>
        </w:rPr>
        <w:t xml:space="preserve">not necessary </w:t>
      </w:r>
      <w:r>
        <w:rPr>
          <w:sz w:val="22"/>
          <w:szCs w:val="22"/>
          <w:lang w:eastAsia="en-GB"/>
        </w:rPr>
        <w:t xml:space="preserve">when a third-country national has already received an </w:t>
      </w:r>
      <w:r>
        <w:rPr>
          <w:b/>
          <w:sz w:val="22"/>
          <w:szCs w:val="22"/>
          <w:lang w:eastAsia="en-GB"/>
        </w:rPr>
        <w:t>extended residence permit</w:t>
      </w:r>
      <w:r>
        <w:rPr>
          <w:sz w:val="22"/>
          <w:szCs w:val="22"/>
          <w:lang w:eastAsia="en-GB"/>
        </w:rPr>
        <w:t xml:space="preserve"> and wants to apply for a </w:t>
      </w:r>
      <w:r>
        <w:rPr>
          <w:b/>
          <w:sz w:val="22"/>
          <w:szCs w:val="22"/>
          <w:lang w:eastAsia="en-GB"/>
        </w:rPr>
        <w:t>renewal</w:t>
      </w:r>
      <w:r>
        <w:rPr>
          <w:sz w:val="22"/>
          <w:szCs w:val="22"/>
          <w:lang w:eastAsia="en-GB"/>
        </w:rPr>
        <w:t xml:space="preserve"> of the extended residence permit or for a permanent residence permit.</w:t>
      </w:r>
    </w:p>
    <w:p w14:paraId="449C4490" w14:textId="77777777" w:rsidR="00402C02" w:rsidRDefault="00402C02" w:rsidP="00402C02">
      <w:pPr>
        <w:spacing w:after="0" w:line="240" w:lineRule="auto"/>
        <w:jc w:val="both"/>
        <w:rPr>
          <w:b/>
          <w:sz w:val="22"/>
          <w:szCs w:val="22"/>
          <w:lang w:eastAsia="en-GB"/>
        </w:rPr>
      </w:pPr>
    </w:p>
    <w:p w14:paraId="39FF2201" w14:textId="0B166C38" w:rsidR="00402C02" w:rsidRDefault="00402C02" w:rsidP="00402C02">
      <w:pPr>
        <w:spacing w:after="0" w:line="240" w:lineRule="auto"/>
        <w:jc w:val="both"/>
        <w:rPr>
          <w:sz w:val="22"/>
          <w:szCs w:val="22"/>
          <w:lang w:eastAsia="en-GB"/>
        </w:rPr>
      </w:pPr>
      <w:r>
        <w:rPr>
          <w:b/>
          <w:sz w:val="22"/>
          <w:szCs w:val="22"/>
          <w:lang w:eastAsia="en-GB"/>
        </w:rPr>
        <w:t>If a third-country national who can and has entered the country for up to 90 days without a visa</w:t>
      </w:r>
      <w:r w:rsidRPr="00FB3518">
        <w:rPr>
          <w:rStyle w:val="FootnoteReference"/>
          <w:sz w:val="22"/>
          <w:szCs w:val="22"/>
          <w:lang w:eastAsia="en-GB"/>
        </w:rPr>
        <w:footnoteReference w:id="11"/>
      </w:r>
      <w:r>
        <w:rPr>
          <w:b/>
          <w:sz w:val="22"/>
          <w:szCs w:val="22"/>
          <w:lang w:eastAsia="en-GB"/>
        </w:rPr>
        <w:t xml:space="preserve"> </w:t>
      </w:r>
      <w:r>
        <w:rPr>
          <w:sz w:val="22"/>
          <w:szCs w:val="22"/>
          <w:lang w:eastAsia="en-GB"/>
        </w:rPr>
        <w:t xml:space="preserve">wishes to apply for residence under the investors’ residence schemes, </w:t>
      </w:r>
      <w:r>
        <w:rPr>
          <w:b/>
          <w:sz w:val="22"/>
          <w:szCs w:val="22"/>
          <w:lang w:eastAsia="en-GB"/>
        </w:rPr>
        <w:t>they must exit the country</w:t>
      </w:r>
      <w:r>
        <w:rPr>
          <w:sz w:val="22"/>
          <w:szCs w:val="22"/>
          <w:lang w:eastAsia="en-GB"/>
        </w:rPr>
        <w:t xml:space="preserve">, </w:t>
      </w:r>
      <w:r>
        <w:rPr>
          <w:b/>
          <w:sz w:val="22"/>
          <w:szCs w:val="22"/>
          <w:lang w:eastAsia="en-GB"/>
        </w:rPr>
        <w:t>apply for a long-stay visa</w:t>
      </w:r>
      <w:r>
        <w:rPr>
          <w:sz w:val="22"/>
          <w:szCs w:val="22"/>
          <w:lang w:eastAsia="en-GB"/>
        </w:rPr>
        <w:t xml:space="preserve"> and then submit their application for either type of residence permits (extended residence or permanent residence) that fall under these schemes. </w:t>
      </w:r>
    </w:p>
    <w:p w14:paraId="0BC8441A" w14:textId="77777777" w:rsidR="00402C02" w:rsidRDefault="00402C02" w:rsidP="00402C02">
      <w:pPr>
        <w:spacing w:after="0" w:line="240" w:lineRule="auto"/>
        <w:jc w:val="both"/>
        <w:rPr>
          <w:sz w:val="22"/>
          <w:szCs w:val="22"/>
          <w:lang w:eastAsia="en-GB"/>
        </w:rPr>
      </w:pPr>
    </w:p>
    <w:p w14:paraId="7552B87C" w14:textId="219DDFED" w:rsidR="00874228" w:rsidRPr="008221C6" w:rsidRDefault="00337204" w:rsidP="00337204">
      <w:pPr>
        <w:pStyle w:val="MBT"/>
        <w:rPr>
          <w:szCs w:val="28"/>
          <w:lang w:val="en-GB"/>
        </w:rPr>
      </w:pPr>
      <w:r>
        <w:rPr>
          <w:szCs w:val="28"/>
          <w:lang w:val="en-GB"/>
        </w:rPr>
        <w:t xml:space="preserve">To </w:t>
      </w:r>
      <w:r w:rsidRPr="00FB3518">
        <w:rPr>
          <w:b/>
          <w:szCs w:val="28"/>
          <w:lang w:val="en-GB"/>
        </w:rPr>
        <w:t>apply for a residence permit</w:t>
      </w:r>
      <w:r>
        <w:rPr>
          <w:szCs w:val="28"/>
          <w:lang w:val="en-GB"/>
        </w:rPr>
        <w:t xml:space="preserve"> (whether extended residence or permanent residence) the foreign investor must present </w:t>
      </w:r>
      <w:r>
        <w:rPr>
          <w:b/>
          <w:szCs w:val="28"/>
          <w:lang w:val="en-GB"/>
        </w:rPr>
        <w:t>in person</w:t>
      </w:r>
      <w:r w:rsidRPr="00B6730B">
        <w:rPr>
          <w:rStyle w:val="FootnoteReference"/>
          <w:szCs w:val="28"/>
          <w:lang w:val="en-GB"/>
        </w:rPr>
        <w:footnoteReference w:id="12"/>
      </w:r>
      <w:r w:rsidRPr="00B6730B">
        <w:rPr>
          <w:szCs w:val="28"/>
          <w:lang w:val="en-GB"/>
        </w:rPr>
        <w:t xml:space="preserve"> </w:t>
      </w:r>
      <w:r>
        <w:rPr>
          <w:szCs w:val="28"/>
          <w:lang w:val="en-GB"/>
        </w:rPr>
        <w:t>a number of general documents</w:t>
      </w:r>
      <w:r>
        <w:rPr>
          <w:szCs w:val="28"/>
          <w:lang w:val="bg-BG"/>
        </w:rPr>
        <w:t xml:space="preserve"> (</w:t>
      </w:r>
      <w:r>
        <w:rPr>
          <w:szCs w:val="28"/>
        </w:rPr>
        <w:t xml:space="preserve">passport, visa, </w:t>
      </w:r>
      <w:r>
        <w:t xml:space="preserve">Evidence for </w:t>
      </w:r>
      <w:r>
        <w:rPr>
          <w:b/>
        </w:rPr>
        <w:t>regular, stable, foreseeable and sufficient means of subsistence, criminal record)</w:t>
      </w:r>
      <w:r>
        <w:rPr>
          <w:szCs w:val="28"/>
          <w:lang w:val="en-GB"/>
        </w:rPr>
        <w:t xml:space="preserve">, as well as specific documents depending on the type of permit applied for. </w:t>
      </w:r>
      <w:r w:rsidR="00301983" w:rsidRPr="00301983">
        <w:rPr>
          <w:lang w:val="en-GB"/>
        </w:rPr>
        <w:fldChar w:fldCharType="begin"/>
      </w:r>
      <w:r w:rsidR="00301983" w:rsidRPr="00301983">
        <w:rPr>
          <w:lang w:val="en-GB"/>
        </w:rPr>
        <w:instrText xml:space="preserve"> REF _Ref520378290 \h  \* MERGEFORMAT </w:instrText>
      </w:r>
      <w:r w:rsidR="00301983" w:rsidRPr="00301983">
        <w:rPr>
          <w:lang w:val="en-GB"/>
        </w:rPr>
      </w:r>
      <w:r w:rsidR="00301983" w:rsidRPr="00301983">
        <w:rPr>
          <w:lang w:val="en-GB"/>
        </w:rPr>
        <w:fldChar w:fldCharType="separate"/>
      </w:r>
      <w:r w:rsidR="00124983" w:rsidRPr="00301983">
        <w:rPr>
          <w:b/>
        </w:rPr>
        <w:t xml:space="preserve">Table </w:t>
      </w:r>
      <w:r w:rsidR="00124983" w:rsidRPr="00A747B9">
        <w:rPr>
          <w:b/>
          <w:noProof/>
        </w:rPr>
        <w:t>2</w:t>
      </w:r>
      <w:r w:rsidR="00301983" w:rsidRPr="00301983">
        <w:rPr>
          <w:lang w:val="en-GB"/>
        </w:rPr>
        <w:fldChar w:fldCharType="end"/>
      </w:r>
      <w:r w:rsidR="00301983">
        <w:rPr>
          <w:szCs w:val="28"/>
          <w:lang w:val="en-GB"/>
        </w:rPr>
        <w:t xml:space="preserve"> </w:t>
      </w:r>
      <w:r w:rsidR="00874228">
        <w:rPr>
          <w:szCs w:val="28"/>
          <w:lang w:val="en-GB"/>
        </w:rPr>
        <w:t xml:space="preserve">below shows the type of investment foreigners must carry out to obtain an </w:t>
      </w:r>
      <w:r w:rsidR="00874228">
        <w:rPr>
          <w:b/>
          <w:szCs w:val="28"/>
          <w:lang w:val="en-GB"/>
        </w:rPr>
        <w:t>extended residence permit (Article 24(1) FNA)</w:t>
      </w:r>
      <w:r w:rsidR="00BD3053" w:rsidRPr="00BD3053">
        <w:rPr>
          <w:szCs w:val="28"/>
          <w:lang w:val="en-GB"/>
        </w:rPr>
        <w:t>.</w:t>
      </w:r>
      <w:r w:rsidR="00BD3053">
        <w:rPr>
          <w:szCs w:val="28"/>
          <w:lang w:val="en-GB"/>
        </w:rPr>
        <w:t xml:space="preserve"> The types of investment</w:t>
      </w:r>
      <w:r w:rsidR="00874228">
        <w:rPr>
          <w:szCs w:val="28"/>
          <w:lang w:val="en-GB"/>
        </w:rPr>
        <w:t xml:space="preserve"> </w:t>
      </w:r>
      <w:r w:rsidR="00BD3053">
        <w:rPr>
          <w:szCs w:val="28"/>
          <w:lang w:val="en-GB"/>
        </w:rPr>
        <w:t>f</w:t>
      </w:r>
      <w:r w:rsidR="00874228">
        <w:rPr>
          <w:szCs w:val="28"/>
          <w:lang w:val="en-GB"/>
        </w:rPr>
        <w:t xml:space="preserve">or a </w:t>
      </w:r>
      <w:r w:rsidR="00874228">
        <w:rPr>
          <w:b/>
          <w:szCs w:val="28"/>
          <w:lang w:val="en-GB"/>
        </w:rPr>
        <w:t>permanent residence permit (Article 25(1) FNA)</w:t>
      </w:r>
      <w:r w:rsidR="00BD3053">
        <w:rPr>
          <w:b/>
          <w:szCs w:val="28"/>
          <w:lang w:val="en-GB"/>
        </w:rPr>
        <w:t xml:space="preserve"> </w:t>
      </w:r>
      <w:r w:rsidR="00BD3053">
        <w:rPr>
          <w:szCs w:val="28"/>
          <w:lang w:val="en-GB"/>
        </w:rPr>
        <w:t xml:space="preserve">are in </w:t>
      </w:r>
      <w:r w:rsidR="00301983" w:rsidRPr="00301983">
        <w:rPr>
          <w:szCs w:val="28"/>
          <w:lang w:val="en-GB"/>
        </w:rPr>
        <w:fldChar w:fldCharType="begin"/>
      </w:r>
      <w:r w:rsidR="00301983" w:rsidRPr="00301983">
        <w:rPr>
          <w:szCs w:val="28"/>
          <w:lang w:val="en-GB"/>
        </w:rPr>
        <w:instrText xml:space="preserve"> REF _Ref520378325 \h  \* MERGEFORMAT </w:instrText>
      </w:r>
      <w:r w:rsidR="00301983" w:rsidRPr="00301983">
        <w:rPr>
          <w:szCs w:val="28"/>
          <w:lang w:val="en-GB"/>
        </w:rPr>
      </w:r>
      <w:r w:rsidR="00301983" w:rsidRPr="00301983">
        <w:rPr>
          <w:szCs w:val="28"/>
          <w:lang w:val="en-GB"/>
        </w:rPr>
        <w:fldChar w:fldCharType="separate"/>
      </w:r>
      <w:r w:rsidR="00124983" w:rsidRPr="00BD3053">
        <w:rPr>
          <w:b/>
        </w:rPr>
        <w:t xml:space="preserve">Table </w:t>
      </w:r>
      <w:r w:rsidR="00124983" w:rsidRPr="00A747B9">
        <w:rPr>
          <w:b/>
          <w:noProof/>
        </w:rPr>
        <w:t>1</w:t>
      </w:r>
      <w:r w:rsidR="00301983" w:rsidRPr="00301983">
        <w:rPr>
          <w:szCs w:val="28"/>
          <w:lang w:val="en-GB"/>
        </w:rPr>
        <w:fldChar w:fldCharType="end"/>
      </w:r>
      <w:r w:rsidR="00BD3053" w:rsidRPr="00301983">
        <w:rPr>
          <w:szCs w:val="28"/>
          <w:lang w:val="en-GB"/>
        </w:rPr>
        <w:t xml:space="preserve"> </w:t>
      </w:r>
      <w:r w:rsidR="00BD3053">
        <w:rPr>
          <w:szCs w:val="28"/>
          <w:lang w:val="en-GB"/>
        </w:rPr>
        <w:t>above</w:t>
      </w:r>
      <w:r w:rsidR="00B6730B">
        <w:rPr>
          <w:szCs w:val="28"/>
          <w:lang w:val="en-GB"/>
        </w:rPr>
        <w:t>.</w:t>
      </w:r>
      <w:r w:rsidR="00301983">
        <w:rPr>
          <w:rStyle w:val="FootnoteReference"/>
          <w:szCs w:val="28"/>
          <w:lang w:val="en-GB"/>
        </w:rPr>
        <w:footnoteReference w:id="13"/>
      </w:r>
      <w:r w:rsidR="008221C6">
        <w:rPr>
          <w:szCs w:val="28"/>
          <w:lang w:val="en-GB"/>
        </w:rPr>
        <w:t xml:space="preserve"> The </w:t>
      </w:r>
      <w:r w:rsidR="008221C6">
        <w:rPr>
          <w:b/>
          <w:szCs w:val="28"/>
          <w:lang w:val="en-GB"/>
        </w:rPr>
        <w:t xml:space="preserve">administrative fees </w:t>
      </w:r>
      <w:r w:rsidR="008221C6">
        <w:rPr>
          <w:szCs w:val="28"/>
          <w:lang w:val="en-GB"/>
        </w:rPr>
        <w:t>are the same as those of the investors’ citizenship schemes (see above).</w:t>
      </w:r>
    </w:p>
    <w:p w14:paraId="52BD0A5E" w14:textId="77777777" w:rsidR="00BD3053" w:rsidRDefault="00BD3053" w:rsidP="00337204">
      <w:pPr>
        <w:pStyle w:val="MBT"/>
        <w:rPr>
          <w:szCs w:val="28"/>
          <w:lang w:val="en-GB"/>
        </w:rPr>
      </w:pPr>
    </w:p>
    <w:p w14:paraId="35AB3192" w14:textId="40CFDFB1" w:rsidR="00BD3053" w:rsidRPr="00301983" w:rsidRDefault="00BD3053" w:rsidP="00BD3053">
      <w:pPr>
        <w:pStyle w:val="Caption"/>
        <w:keepNext/>
        <w:rPr>
          <w:b/>
          <w:i w:val="0"/>
        </w:rPr>
      </w:pPr>
      <w:bookmarkStart w:id="3" w:name="_Ref520378290"/>
      <w:r w:rsidRPr="00301983">
        <w:rPr>
          <w:b/>
          <w:i w:val="0"/>
        </w:rPr>
        <w:t xml:space="preserve">Table </w:t>
      </w:r>
      <w:r w:rsidRPr="00301983">
        <w:rPr>
          <w:b/>
          <w:i w:val="0"/>
        </w:rPr>
        <w:fldChar w:fldCharType="begin"/>
      </w:r>
      <w:r w:rsidRPr="00301983">
        <w:rPr>
          <w:b/>
          <w:i w:val="0"/>
        </w:rPr>
        <w:instrText xml:space="preserve"> SEQ Table \* ARABIC </w:instrText>
      </w:r>
      <w:r w:rsidRPr="00301983">
        <w:rPr>
          <w:b/>
          <w:i w:val="0"/>
        </w:rPr>
        <w:fldChar w:fldCharType="separate"/>
      </w:r>
      <w:r w:rsidR="00124983">
        <w:rPr>
          <w:b/>
          <w:i w:val="0"/>
          <w:noProof/>
        </w:rPr>
        <w:t>2</w:t>
      </w:r>
      <w:r w:rsidRPr="00301983">
        <w:rPr>
          <w:b/>
          <w:i w:val="0"/>
        </w:rPr>
        <w:fldChar w:fldCharType="end"/>
      </w:r>
      <w:bookmarkEnd w:id="3"/>
      <w:r w:rsidRPr="00301983">
        <w:rPr>
          <w:b/>
          <w:i w:val="0"/>
        </w:rPr>
        <w:t xml:space="preserve"> Types of investment to obtain an extended residence permit</w:t>
      </w:r>
    </w:p>
    <w:tbl>
      <w:tblPr>
        <w:tblStyle w:val="TableGrid11"/>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A0" w:firstRow="1" w:lastRow="0" w:firstColumn="1" w:lastColumn="0" w:noHBand="0" w:noVBand="1"/>
      </w:tblPr>
      <w:tblGrid>
        <w:gridCol w:w="2487"/>
        <w:gridCol w:w="3437"/>
        <w:gridCol w:w="3082"/>
      </w:tblGrid>
      <w:tr w:rsidR="00BB372D" w:rsidRPr="00DC7D80" w14:paraId="1AC42F05" w14:textId="77777777" w:rsidTr="00BB372D">
        <w:trPr>
          <w:tblHeader/>
        </w:trPr>
        <w:tc>
          <w:tcPr>
            <w:tcW w:w="1381" w:type="pct"/>
            <w:shd w:val="clear" w:color="auto" w:fill="4F81BD"/>
          </w:tcPr>
          <w:p w14:paraId="1CBA4A89" w14:textId="2312C2D8" w:rsidR="00BB372D" w:rsidRPr="00DC7D80" w:rsidRDefault="00BB372D" w:rsidP="00BB372D">
            <w:pPr>
              <w:spacing w:before="60" w:after="60"/>
              <w:rPr>
                <w:rFonts w:ascii="Century Gothic" w:hAnsi="Century Gothic"/>
                <w:b/>
              </w:rPr>
            </w:pPr>
            <w:r w:rsidRPr="00DC7D80">
              <w:rPr>
                <w:rFonts w:ascii="Century Gothic" w:hAnsi="Century Gothic"/>
                <w:b/>
              </w:rPr>
              <w:t>Extended residence permit (Art. 24, par. 1 FNA)</w:t>
            </w:r>
            <w:r w:rsidRPr="00190E8E">
              <w:rPr>
                <w:rFonts w:ascii="Century Gothic" w:hAnsi="Century Gothic"/>
                <w:vertAlign w:val="superscript"/>
              </w:rPr>
              <w:footnoteReference w:id="14"/>
            </w:r>
          </w:p>
        </w:tc>
        <w:tc>
          <w:tcPr>
            <w:tcW w:w="1908" w:type="pct"/>
            <w:shd w:val="clear" w:color="auto" w:fill="4F81BD"/>
          </w:tcPr>
          <w:p w14:paraId="31CA2737" w14:textId="77777777" w:rsidR="00BB372D" w:rsidRPr="00DC7D80" w:rsidRDefault="00BB372D" w:rsidP="00874228">
            <w:pPr>
              <w:spacing w:before="60" w:after="60"/>
              <w:rPr>
                <w:rFonts w:ascii="Century Gothic" w:hAnsi="Century Gothic"/>
                <w:b/>
              </w:rPr>
            </w:pPr>
            <w:r w:rsidRPr="00DC7D80">
              <w:rPr>
                <w:rFonts w:ascii="Century Gothic" w:hAnsi="Century Gothic"/>
                <w:b/>
              </w:rPr>
              <w:t>Type of investment</w:t>
            </w:r>
          </w:p>
        </w:tc>
        <w:tc>
          <w:tcPr>
            <w:tcW w:w="1711" w:type="pct"/>
            <w:shd w:val="clear" w:color="auto" w:fill="4F81BD"/>
          </w:tcPr>
          <w:p w14:paraId="334F25DC" w14:textId="77777777" w:rsidR="00BB372D" w:rsidRPr="00DC7D80" w:rsidRDefault="00BB372D" w:rsidP="00874228">
            <w:pPr>
              <w:spacing w:before="60" w:after="60"/>
              <w:rPr>
                <w:rFonts w:ascii="Century Gothic" w:hAnsi="Century Gothic"/>
                <w:b/>
              </w:rPr>
            </w:pPr>
            <w:r w:rsidRPr="00DC7D80">
              <w:rPr>
                <w:rFonts w:ascii="Century Gothic" w:hAnsi="Century Gothic"/>
                <w:b/>
              </w:rPr>
              <w:t>Amount of the investment</w:t>
            </w:r>
          </w:p>
        </w:tc>
      </w:tr>
      <w:tr w:rsidR="00BB372D" w:rsidRPr="00DC7D80" w14:paraId="57B5D03A" w14:textId="77777777" w:rsidTr="00BB372D">
        <w:trPr>
          <w:trHeight w:val="388"/>
        </w:trPr>
        <w:tc>
          <w:tcPr>
            <w:tcW w:w="1381" w:type="pct"/>
            <w:vMerge w:val="restart"/>
            <w:shd w:val="clear" w:color="auto" w:fill="DBE5F1"/>
          </w:tcPr>
          <w:p w14:paraId="595B81D5" w14:textId="77777777" w:rsidR="00BB372D" w:rsidRPr="00DC7D80" w:rsidRDefault="00BB372D" w:rsidP="00874228">
            <w:pPr>
              <w:rPr>
                <w:rFonts w:ascii="Century Gothic" w:hAnsi="Century Gothic"/>
              </w:rPr>
            </w:pPr>
            <w:r w:rsidRPr="00DC7D80">
              <w:rPr>
                <w:rFonts w:ascii="Century Gothic" w:hAnsi="Century Gothic"/>
                <w:b/>
              </w:rPr>
              <w:t>Item 19:</w:t>
            </w:r>
            <w:r w:rsidRPr="00DC7D80">
              <w:rPr>
                <w:rFonts w:ascii="Century Gothic" w:hAnsi="Century Gothic"/>
              </w:rPr>
              <w:t xml:space="preserve"> the investor makes the investment:</w:t>
            </w:r>
          </w:p>
          <w:p w14:paraId="2690A4EB" w14:textId="77777777" w:rsidR="00BB372D" w:rsidRPr="00DC7D80" w:rsidRDefault="00BB372D" w:rsidP="00874228">
            <w:pPr>
              <w:rPr>
                <w:rFonts w:ascii="Century Gothic" w:hAnsi="Century Gothic"/>
              </w:rPr>
            </w:pPr>
            <w:r w:rsidRPr="00DC7D80">
              <w:rPr>
                <w:rFonts w:ascii="Century Gothic" w:hAnsi="Century Gothic"/>
              </w:rPr>
              <w:t>a) directly; or</w:t>
            </w:r>
          </w:p>
          <w:p w14:paraId="16138B5D" w14:textId="77777777" w:rsidR="00BB372D" w:rsidRPr="00DC7D80" w:rsidRDefault="00BB372D" w:rsidP="00874228">
            <w:pPr>
              <w:rPr>
                <w:rFonts w:ascii="Century Gothic" w:hAnsi="Century Gothic"/>
              </w:rPr>
            </w:pPr>
            <w:r w:rsidRPr="00DC7D80">
              <w:rPr>
                <w:rFonts w:ascii="Century Gothic" w:hAnsi="Century Gothic"/>
              </w:rPr>
              <w:t>b) through a company in which s/he owns more than 50% of the capital</w:t>
            </w:r>
          </w:p>
        </w:tc>
        <w:tc>
          <w:tcPr>
            <w:tcW w:w="1908" w:type="pct"/>
            <w:vMerge w:val="restart"/>
            <w:shd w:val="clear" w:color="auto" w:fill="DBE5F1"/>
          </w:tcPr>
          <w:p w14:paraId="06D626E9" w14:textId="77777777" w:rsidR="00BB372D" w:rsidRPr="00DC7D80" w:rsidRDefault="00BB372D" w:rsidP="00874228">
            <w:pPr>
              <w:rPr>
                <w:rFonts w:ascii="Century Gothic" w:hAnsi="Century Gothic"/>
              </w:rPr>
            </w:pPr>
            <w:r w:rsidRPr="00DC7D80">
              <w:rPr>
                <w:rFonts w:ascii="Century Gothic" w:hAnsi="Century Gothic"/>
              </w:rPr>
              <w:t xml:space="preserve">Investment in </w:t>
            </w:r>
            <w:r w:rsidRPr="00DC7D80">
              <w:rPr>
                <w:rFonts w:ascii="Century Gothic" w:hAnsi="Century Gothic"/>
                <w:b/>
              </w:rPr>
              <w:t>real estate</w:t>
            </w:r>
            <w:r w:rsidRPr="00DC7D80">
              <w:rPr>
                <w:rFonts w:ascii="Century Gothic" w:hAnsi="Century Gothic"/>
              </w:rPr>
              <w:t xml:space="preserve"> </w:t>
            </w:r>
          </w:p>
        </w:tc>
        <w:tc>
          <w:tcPr>
            <w:tcW w:w="1711" w:type="pct"/>
            <w:vMerge w:val="restart"/>
            <w:shd w:val="clear" w:color="auto" w:fill="DBE5F1"/>
          </w:tcPr>
          <w:p w14:paraId="609F6DFE" w14:textId="77777777" w:rsidR="00BB372D" w:rsidRPr="00DC7D80" w:rsidRDefault="00BB372D" w:rsidP="00874228">
            <w:pPr>
              <w:rPr>
                <w:rFonts w:ascii="Century Gothic" w:hAnsi="Century Gothic"/>
              </w:rPr>
            </w:pPr>
            <w:r w:rsidRPr="00DC7D80">
              <w:rPr>
                <w:rFonts w:ascii="Century Gothic" w:hAnsi="Century Gothic"/>
              </w:rPr>
              <w:t xml:space="preserve">EUR 300,000 </w:t>
            </w:r>
          </w:p>
          <w:p w14:paraId="5F4B8FB3" w14:textId="77777777" w:rsidR="00BB372D" w:rsidRPr="00DC7D80" w:rsidRDefault="00BB372D" w:rsidP="00874228">
            <w:pPr>
              <w:numPr>
                <w:ilvl w:val="0"/>
                <w:numId w:val="31"/>
              </w:numPr>
              <w:ind w:left="288" w:hanging="284"/>
              <w:contextualSpacing/>
              <w:rPr>
                <w:rFonts w:ascii="Century Gothic" w:hAnsi="Century Gothic"/>
              </w:rPr>
            </w:pPr>
            <w:r w:rsidRPr="00DC7D80">
              <w:rPr>
                <w:rFonts w:ascii="Century Gothic" w:hAnsi="Century Gothic"/>
              </w:rPr>
              <w:t>paid in full at the date of submission of the application to a licensed Bulgarian credit institution</w:t>
            </w:r>
          </w:p>
          <w:p w14:paraId="70D4AB7A" w14:textId="77777777" w:rsidR="00BB372D" w:rsidRPr="00DC7D80" w:rsidRDefault="00BB372D" w:rsidP="00874228">
            <w:pPr>
              <w:numPr>
                <w:ilvl w:val="0"/>
                <w:numId w:val="31"/>
              </w:numPr>
              <w:ind w:left="288" w:hanging="284"/>
              <w:contextualSpacing/>
              <w:rPr>
                <w:rFonts w:ascii="Century Gothic" w:hAnsi="Century Gothic"/>
              </w:rPr>
            </w:pPr>
            <w:r w:rsidRPr="00DC7D80">
              <w:rPr>
                <w:rFonts w:ascii="Century Gothic" w:hAnsi="Century Gothic"/>
              </w:rPr>
              <w:t>if used borrowed funds: outstanding part of the loan must not exceed 25 per cent</w:t>
            </w:r>
          </w:p>
        </w:tc>
      </w:tr>
      <w:tr w:rsidR="00BB372D" w:rsidRPr="00DC7D80" w14:paraId="77043F82" w14:textId="77777777" w:rsidTr="00BB372D">
        <w:trPr>
          <w:trHeight w:val="388"/>
        </w:trPr>
        <w:tc>
          <w:tcPr>
            <w:tcW w:w="1381" w:type="pct"/>
            <w:vMerge/>
            <w:shd w:val="clear" w:color="auto" w:fill="DBE5F1"/>
          </w:tcPr>
          <w:p w14:paraId="70A08258" w14:textId="77777777" w:rsidR="00BB372D" w:rsidRPr="00DC7D80" w:rsidRDefault="00BB372D" w:rsidP="00874228">
            <w:pPr>
              <w:rPr>
                <w:rFonts w:ascii="Century Gothic" w:hAnsi="Century Gothic"/>
              </w:rPr>
            </w:pPr>
          </w:p>
        </w:tc>
        <w:tc>
          <w:tcPr>
            <w:tcW w:w="1908" w:type="pct"/>
            <w:vMerge/>
            <w:shd w:val="clear" w:color="auto" w:fill="DBE5F1"/>
          </w:tcPr>
          <w:p w14:paraId="58B555CA" w14:textId="77777777" w:rsidR="00BB372D" w:rsidRPr="00DC7D80" w:rsidRDefault="00BB372D" w:rsidP="00874228">
            <w:pPr>
              <w:rPr>
                <w:rFonts w:ascii="Century Gothic" w:hAnsi="Century Gothic"/>
              </w:rPr>
            </w:pPr>
          </w:p>
        </w:tc>
        <w:tc>
          <w:tcPr>
            <w:tcW w:w="1711" w:type="pct"/>
            <w:vMerge/>
            <w:shd w:val="clear" w:color="auto" w:fill="DBE5F1"/>
          </w:tcPr>
          <w:p w14:paraId="3FA90EE8" w14:textId="77777777" w:rsidR="00BB372D" w:rsidRPr="00DC7D80" w:rsidRDefault="00BB372D" w:rsidP="00874228">
            <w:pPr>
              <w:rPr>
                <w:rFonts w:ascii="Century Gothic" w:hAnsi="Century Gothic"/>
              </w:rPr>
            </w:pPr>
          </w:p>
        </w:tc>
      </w:tr>
      <w:tr w:rsidR="00BB372D" w:rsidRPr="00DC7D80" w14:paraId="4AF93912" w14:textId="77777777" w:rsidTr="00BB372D">
        <w:tc>
          <w:tcPr>
            <w:tcW w:w="1381" w:type="pct"/>
            <w:shd w:val="clear" w:color="auto" w:fill="DBE5F1"/>
          </w:tcPr>
          <w:p w14:paraId="5DA5980D" w14:textId="77777777" w:rsidR="00BB372D" w:rsidRPr="00DC7D80" w:rsidRDefault="00BB372D" w:rsidP="00874228">
            <w:pPr>
              <w:rPr>
                <w:rFonts w:ascii="Century Gothic" w:hAnsi="Century Gothic"/>
              </w:rPr>
            </w:pPr>
            <w:r w:rsidRPr="00DC7D80">
              <w:rPr>
                <w:rFonts w:ascii="Century Gothic" w:hAnsi="Century Gothic"/>
                <w:b/>
              </w:rPr>
              <w:t>Item 20:</w:t>
            </w:r>
            <w:r w:rsidRPr="00DC7D80">
              <w:rPr>
                <w:rFonts w:ascii="Century Gothic" w:hAnsi="Century Gothic"/>
              </w:rPr>
              <w:t xml:space="preserve"> the investor is a partner or shareholder and owns 50% of the company’s capital</w:t>
            </w:r>
          </w:p>
        </w:tc>
        <w:tc>
          <w:tcPr>
            <w:tcW w:w="1908" w:type="pct"/>
            <w:shd w:val="clear" w:color="auto" w:fill="DBE5F1"/>
          </w:tcPr>
          <w:p w14:paraId="34C700AB" w14:textId="77777777" w:rsidR="00BB372D" w:rsidRPr="00DC7D80" w:rsidRDefault="00BB372D" w:rsidP="00874228">
            <w:pPr>
              <w:rPr>
                <w:rFonts w:ascii="Century Gothic" w:hAnsi="Century Gothic"/>
              </w:rPr>
            </w:pPr>
            <w:r w:rsidRPr="00DC7D80">
              <w:rPr>
                <w:rFonts w:ascii="Century Gothic" w:hAnsi="Century Gothic"/>
              </w:rPr>
              <w:t xml:space="preserve">Investment in a </w:t>
            </w:r>
            <w:r w:rsidRPr="00DC7D80">
              <w:rPr>
                <w:rFonts w:ascii="Century Gothic" w:hAnsi="Century Gothic"/>
                <w:b/>
              </w:rPr>
              <w:t>company that operates in economically disadvantaged region</w:t>
            </w:r>
            <w:r w:rsidRPr="00190E8E">
              <w:rPr>
                <w:rFonts w:ascii="Century Gothic" w:hAnsi="Century Gothic"/>
                <w:vertAlign w:val="superscript"/>
              </w:rPr>
              <w:footnoteReference w:id="15"/>
            </w:r>
            <w:r w:rsidRPr="00190E8E">
              <w:rPr>
                <w:rFonts w:ascii="Century Gothic" w:hAnsi="Century Gothic"/>
              </w:rPr>
              <w:t xml:space="preserve"> </w:t>
            </w:r>
            <w:r w:rsidRPr="00DC7D80">
              <w:rPr>
                <w:rFonts w:ascii="Century Gothic" w:hAnsi="Century Gothic"/>
              </w:rPr>
              <w:t>in which</w:t>
            </w:r>
            <w:r w:rsidRPr="00DC7D80">
              <w:rPr>
                <w:rFonts w:ascii="Century Gothic" w:hAnsi="Century Gothic"/>
                <w:b/>
              </w:rPr>
              <w:t xml:space="preserve"> at least five job positions for Bulgarian citizens have been created and will be maintained for the duration of the intended stay (6 to 12 months). </w:t>
            </w:r>
          </w:p>
        </w:tc>
        <w:tc>
          <w:tcPr>
            <w:tcW w:w="1711" w:type="pct"/>
            <w:shd w:val="clear" w:color="auto" w:fill="DBE5F1"/>
          </w:tcPr>
          <w:p w14:paraId="517160B5" w14:textId="77777777" w:rsidR="00BB372D" w:rsidRPr="00DC7D80" w:rsidRDefault="00BB372D" w:rsidP="00874228">
            <w:pPr>
              <w:rPr>
                <w:rFonts w:ascii="Century Gothic" w:hAnsi="Century Gothic"/>
              </w:rPr>
            </w:pPr>
            <w:r w:rsidRPr="00DC7D80">
              <w:rPr>
                <w:rFonts w:ascii="Century Gothic" w:hAnsi="Century Gothic"/>
              </w:rPr>
              <w:t>EUR 125, 000 (acquisition of tangible and intangible assets)</w:t>
            </w:r>
          </w:p>
        </w:tc>
      </w:tr>
    </w:tbl>
    <w:p w14:paraId="1D5FAF9B" w14:textId="6864092D" w:rsidR="00337204" w:rsidRDefault="00337204" w:rsidP="00337204">
      <w:pPr>
        <w:pStyle w:val="MBT"/>
        <w:rPr>
          <w:szCs w:val="28"/>
          <w:lang w:val="en-GB"/>
        </w:rPr>
      </w:pPr>
    </w:p>
    <w:p w14:paraId="7D365FEF" w14:textId="75A4B2C3" w:rsidR="00874228" w:rsidRDefault="00874228" w:rsidP="00874228">
      <w:pPr>
        <w:spacing w:after="0" w:line="240" w:lineRule="auto"/>
        <w:jc w:val="both"/>
        <w:rPr>
          <w:bCs/>
          <w:sz w:val="22"/>
          <w:szCs w:val="22"/>
          <w:lang w:eastAsia="en-GB"/>
        </w:rPr>
      </w:pPr>
      <w:r w:rsidRPr="00301983">
        <w:rPr>
          <w:sz w:val="22"/>
          <w:szCs w:val="22"/>
          <w:lang w:eastAsia="en-GB"/>
        </w:rPr>
        <w:lastRenderedPageBreak/>
        <w:t xml:space="preserve">Apart from the investment requirement, the </w:t>
      </w:r>
      <w:r w:rsidRPr="00301983">
        <w:rPr>
          <w:sz w:val="22"/>
          <w:szCs w:val="22"/>
          <w:lang w:val="en-US" w:eastAsia="en-GB"/>
        </w:rPr>
        <w:t xml:space="preserve">investor must be </w:t>
      </w:r>
      <w:r w:rsidRPr="00301983">
        <w:rPr>
          <w:b/>
          <w:sz w:val="22"/>
          <w:szCs w:val="22"/>
          <w:lang w:val="en-US" w:eastAsia="en-GB"/>
        </w:rPr>
        <w:t>physically</w:t>
      </w:r>
      <w:r w:rsidRPr="00301983">
        <w:rPr>
          <w:sz w:val="22"/>
          <w:szCs w:val="22"/>
          <w:lang w:val="en-US" w:eastAsia="en-GB"/>
        </w:rPr>
        <w:t xml:space="preserve"> in Bulgaria when applying for the appropriate residence permit</w:t>
      </w:r>
      <w:r w:rsidRPr="00874228">
        <w:rPr>
          <w:sz w:val="22"/>
          <w:szCs w:val="22"/>
          <w:lang w:val="en-US" w:eastAsia="en-GB"/>
        </w:rPr>
        <w:t>.</w:t>
      </w:r>
    </w:p>
    <w:p w14:paraId="6E70A400" w14:textId="77777777" w:rsidR="00874228" w:rsidRDefault="00874228" w:rsidP="00874228">
      <w:pPr>
        <w:spacing w:after="0" w:line="240" w:lineRule="auto"/>
        <w:jc w:val="both"/>
        <w:rPr>
          <w:sz w:val="22"/>
          <w:szCs w:val="22"/>
          <w:lang w:val="en-US" w:eastAsia="en-GB"/>
        </w:rPr>
      </w:pPr>
    </w:p>
    <w:p w14:paraId="58227375" w14:textId="3000A354" w:rsidR="00874228" w:rsidRPr="00301983" w:rsidRDefault="00874228" w:rsidP="00874228">
      <w:pPr>
        <w:spacing w:after="0" w:line="240" w:lineRule="auto"/>
        <w:jc w:val="both"/>
        <w:rPr>
          <w:bCs/>
          <w:sz w:val="22"/>
          <w:szCs w:val="22"/>
          <w:lang w:eastAsia="en-GB"/>
        </w:rPr>
      </w:pPr>
      <w:r w:rsidRPr="00301983">
        <w:rPr>
          <w:sz w:val="22"/>
          <w:szCs w:val="22"/>
          <w:lang w:val="en-US" w:eastAsia="en-GB"/>
        </w:rPr>
        <w:t xml:space="preserve">Upon application, the third-country national is required to submit a </w:t>
      </w:r>
      <w:r w:rsidRPr="00301983">
        <w:rPr>
          <w:b/>
          <w:sz w:val="22"/>
          <w:szCs w:val="22"/>
          <w:lang w:val="en-US" w:eastAsia="en-GB"/>
        </w:rPr>
        <w:t>clean criminal record certificate</w:t>
      </w:r>
      <w:r w:rsidRPr="00301983">
        <w:rPr>
          <w:sz w:val="22"/>
          <w:szCs w:val="22"/>
          <w:lang w:val="en-US" w:eastAsia="en-GB"/>
        </w:rPr>
        <w:t xml:space="preserve"> from the country of which the applicant is a national or their country of habitual residence.</w:t>
      </w:r>
      <w:r w:rsidR="00A747B9">
        <w:rPr>
          <w:sz w:val="22"/>
          <w:szCs w:val="22"/>
          <w:lang w:val="en-US" w:eastAsia="en-GB"/>
        </w:rPr>
        <w:t xml:space="preserve"> On the basis of the infor</w:t>
      </w:r>
      <w:r w:rsidR="004C00F6">
        <w:rPr>
          <w:sz w:val="22"/>
          <w:szCs w:val="22"/>
          <w:lang w:val="en-US" w:eastAsia="en-GB"/>
        </w:rPr>
        <w:t>mation provided in the application</w:t>
      </w:r>
      <w:r w:rsidR="00A747B9">
        <w:rPr>
          <w:sz w:val="22"/>
          <w:szCs w:val="22"/>
          <w:lang w:val="en-US" w:eastAsia="en-GB"/>
        </w:rPr>
        <w:t xml:space="preserve">, </w:t>
      </w:r>
      <w:r w:rsidR="004C00F6">
        <w:rPr>
          <w:sz w:val="22"/>
          <w:szCs w:val="22"/>
          <w:lang w:val="en-US" w:eastAsia="en-GB"/>
        </w:rPr>
        <w:t xml:space="preserve">the </w:t>
      </w:r>
      <w:r w:rsidR="00FB3518" w:rsidRPr="00FB3518">
        <w:rPr>
          <w:sz w:val="22"/>
          <w:szCs w:val="22"/>
          <w:lang w:val="en-US" w:eastAsia="en-GB"/>
        </w:rPr>
        <w:t>SANS</w:t>
      </w:r>
      <w:r w:rsidR="004C00F6">
        <w:rPr>
          <w:b/>
          <w:sz w:val="22"/>
          <w:szCs w:val="22"/>
          <w:lang w:val="en-US" w:eastAsia="en-GB"/>
        </w:rPr>
        <w:t xml:space="preserve"> </w:t>
      </w:r>
      <w:r w:rsidR="004C00F6">
        <w:rPr>
          <w:sz w:val="22"/>
          <w:szCs w:val="22"/>
          <w:lang w:val="en-US" w:eastAsia="en-GB"/>
        </w:rPr>
        <w:t xml:space="preserve">carries out </w:t>
      </w:r>
      <w:r w:rsidR="00A747B9">
        <w:rPr>
          <w:sz w:val="22"/>
          <w:szCs w:val="22"/>
          <w:lang w:val="en-US" w:eastAsia="en-GB"/>
        </w:rPr>
        <w:t xml:space="preserve">checks </w:t>
      </w:r>
      <w:r w:rsidR="004C00F6">
        <w:rPr>
          <w:sz w:val="22"/>
          <w:szCs w:val="22"/>
          <w:lang w:val="en-US" w:eastAsia="en-GB"/>
        </w:rPr>
        <w:t>on the applicant’s</w:t>
      </w:r>
      <w:r w:rsidRPr="00301983">
        <w:rPr>
          <w:sz w:val="22"/>
          <w:szCs w:val="22"/>
          <w:lang w:val="bg-BG" w:eastAsia="en-GB"/>
        </w:rPr>
        <w:t xml:space="preserve"> </w:t>
      </w:r>
      <w:r w:rsidR="00A747B9">
        <w:rPr>
          <w:b/>
          <w:sz w:val="22"/>
          <w:szCs w:val="22"/>
          <w:lang w:val="en-US" w:eastAsia="en-GB"/>
        </w:rPr>
        <w:t>b</w:t>
      </w:r>
      <w:r w:rsidR="00A747B9" w:rsidRPr="00301983">
        <w:rPr>
          <w:b/>
          <w:sz w:val="22"/>
          <w:szCs w:val="22"/>
          <w:lang w:val="en-US" w:eastAsia="en-GB"/>
        </w:rPr>
        <w:t xml:space="preserve">ackground </w:t>
      </w:r>
      <w:r w:rsidR="004C00F6">
        <w:rPr>
          <w:sz w:val="22"/>
          <w:szCs w:val="22"/>
          <w:lang w:val="en-US" w:eastAsia="en-GB"/>
        </w:rPr>
        <w:t>to ensure that s/he does not pose a threat to national security or public order</w:t>
      </w:r>
      <w:r w:rsidRPr="00301983">
        <w:rPr>
          <w:sz w:val="22"/>
          <w:szCs w:val="22"/>
          <w:lang w:val="bg-BG" w:eastAsia="en-GB"/>
        </w:rPr>
        <w:t xml:space="preserve">. </w:t>
      </w:r>
      <w:r w:rsidRPr="00301983">
        <w:rPr>
          <w:sz w:val="22"/>
          <w:szCs w:val="22"/>
          <w:lang w:val="en-US" w:eastAsia="en-GB"/>
        </w:rPr>
        <w:t>Once financial assets are transferred into Bulgarian financial institutions, the investment becomes subject to the general provisions for due diligence covered under the Law on Me</w:t>
      </w:r>
      <w:r w:rsidR="00FB3518">
        <w:rPr>
          <w:sz w:val="22"/>
          <w:szCs w:val="22"/>
          <w:lang w:val="en-US" w:eastAsia="en-GB"/>
        </w:rPr>
        <w:t>asures against Money Laundering</w:t>
      </w:r>
      <w:r w:rsidR="00190E8E">
        <w:rPr>
          <w:sz w:val="22"/>
          <w:szCs w:val="22"/>
          <w:lang w:val="en-US" w:eastAsia="en-GB"/>
        </w:rPr>
        <w:t>.</w:t>
      </w:r>
      <w:r w:rsidRPr="00301983">
        <w:rPr>
          <w:sz w:val="22"/>
          <w:szCs w:val="22"/>
          <w:vertAlign w:val="superscript"/>
          <w:lang w:val="en-US" w:eastAsia="en-GB"/>
        </w:rPr>
        <w:footnoteReference w:id="16"/>
      </w:r>
      <w:r w:rsidRPr="00301983">
        <w:rPr>
          <w:sz w:val="22"/>
          <w:szCs w:val="22"/>
          <w:lang w:val="en-US" w:eastAsia="en-GB"/>
        </w:rPr>
        <w:t xml:space="preserve"> The administrative control services within the Migration Directorate carry out a </w:t>
      </w:r>
      <w:r w:rsidRPr="00301983">
        <w:rPr>
          <w:b/>
          <w:sz w:val="22"/>
          <w:szCs w:val="22"/>
          <w:lang w:val="en-US" w:eastAsia="en-GB"/>
        </w:rPr>
        <w:t>mandatory ex-post check</w:t>
      </w:r>
      <w:r w:rsidRPr="00301983">
        <w:rPr>
          <w:sz w:val="22"/>
          <w:szCs w:val="22"/>
          <w:lang w:val="en-US" w:eastAsia="en-GB"/>
        </w:rPr>
        <w:t xml:space="preserve"> to certify the fulfilment of the criteria for obtaining residence permits. </w:t>
      </w:r>
      <w:r w:rsidRPr="00301983">
        <w:rPr>
          <w:bCs/>
          <w:sz w:val="22"/>
          <w:szCs w:val="22"/>
          <w:lang w:eastAsia="en-GB"/>
        </w:rPr>
        <w:t xml:space="preserve">There is </w:t>
      </w:r>
      <w:r w:rsidRPr="00301983">
        <w:rPr>
          <w:b/>
          <w:bCs/>
          <w:sz w:val="22"/>
          <w:szCs w:val="22"/>
          <w:lang w:eastAsia="en-GB"/>
        </w:rPr>
        <w:t>no mechanism</w:t>
      </w:r>
      <w:r w:rsidRPr="00301983">
        <w:rPr>
          <w:bCs/>
          <w:sz w:val="22"/>
          <w:szCs w:val="22"/>
          <w:lang w:eastAsia="en-GB"/>
        </w:rPr>
        <w:t xml:space="preserve"> for measuring the economic and financial efficiency of the investments made in exchange for receiving residence permits. </w:t>
      </w:r>
    </w:p>
    <w:p w14:paraId="7583D0A9" w14:textId="77777777" w:rsidR="00874228" w:rsidRPr="00301983" w:rsidRDefault="00874228" w:rsidP="00874228">
      <w:pPr>
        <w:spacing w:after="0" w:line="240" w:lineRule="auto"/>
        <w:jc w:val="both"/>
        <w:rPr>
          <w:sz w:val="22"/>
          <w:szCs w:val="22"/>
          <w:lang w:eastAsia="en-GB"/>
        </w:rPr>
      </w:pPr>
    </w:p>
    <w:p w14:paraId="509FC6D4" w14:textId="2CE73CAB" w:rsidR="00337204" w:rsidRPr="00874228" w:rsidRDefault="00337204" w:rsidP="00337204">
      <w:pPr>
        <w:pStyle w:val="PlainText"/>
        <w:jc w:val="both"/>
        <w:rPr>
          <w:rFonts w:ascii="Times New Roman" w:hAnsi="Times New Roman" w:cs="Times New Roman"/>
          <w:sz w:val="22"/>
          <w:szCs w:val="28"/>
          <w:lang w:val="en-GB"/>
        </w:rPr>
      </w:pPr>
      <w:r>
        <w:rPr>
          <w:rFonts w:ascii="Times New Roman" w:hAnsi="Times New Roman" w:cs="Times New Roman"/>
          <w:sz w:val="22"/>
          <w:szCs w:val="28"/>
          <w:lang w:val="en-GB"/>
        </w:rPr>
        <w:t xml:space="preserve">The </w:t>
      </w:r>
      <w:r>
        <w:rPr>
          <w:rFonts w:ascii="Times New Roman" w:hAnsi="Times New Roman" w:cs="Times New Roman"/>
          <w:b/>
          <w:sz w:val="22"/>
          <w:szCs w:val="28"/>
          <w:lang w:val="en-GB"/>
        </w:rPr>
        <w:t>official legal deadline</w:t>
      </w:r>
      <w:r>
        <w:rPr>
          <w:rFonts w:ascii="Times New Roman" w:hAnsi="Times New Roman" w:cs="Times New Roman"/>
          <w:sz w:val="22"/>
          <w:szCs w:val="28"/>
          <w:lang w:val="en-GB"/>
        </w:rPr>
        <w:t xml:space="preserve"> for examining the applications is </w:t>
      </w:r>
      <w:r>
        <w:rPr>
          <w:rFonts w:ascii="Times New Roman" w:hAnsi="Times New Roman" w:cs="Times New Roman"/>
          <w:b/>
          <w:sz w:val="22"/>
          <w:szCs w:val="28"/>
          <w:lang w:val="en-GB"/>
        </w:rPr>
        <w:t>14 days following the submission</w:t>
      </w:r>
      <w:r>
        <w:rPr>
          <w:rFonts w:ascii="Times New Roman" w:hAnsi="Times New Roman" w:cs="Times New Roman"/>
          <w:sz w:val="22"/>
          <w:szCs w:val="28"/>
          <w:lang w:val="en-GB"/>
        </w:rPr>
        <w:t xml:space="preserve"> for e</w:t>
      </w:r>
      <w:r>
        <w:rPr>
          <w:rFonts w:ascii="Times New Roman" w:hAnsi="Times New Roman" w:cs="Times New Roman"/>
          <w:b/>
          <w:sz w:val="22"/>
          <w:szCs w:val="28"/>
          <w:lang w:val="en-GB"/>
        </w:rPr>
        <w:t>xtended residence, and two months following the submission</w:t>
      </w:r>
      <w:r w:rsidRPr="007E1B72">
        <w:rPr>
          <w:rFonts w:ascii="Times New Roman" w:hAnsi="Times New Roman" w:cs="Times New Roman"/>
          <w:sz w:val="22"/>
          <w:szCs w:val="28"/>
          <w:lang w:val="en-GB"/>
        </w:rPr>
        <w:t xml:space="preserve"> </w:t>
      </w:r>
      <w:r>
        <w:rPr>
          <w:rFonts w:ascii="Times New Roman" w:hAnsi="Times New Roman" w:cs="Times New Roman"/>
          <w:sz w:val="22"/>
          <w:szCs w:val="28"/>
          <w:lang w:val="en-GB"/>
        </w:rPr>
        <w:t xml:space="preserve">for </w:t>
      </w:r>
      <w:r>
        <w:rPr>
          <w:rFonts w:ascii="Times New Roman" w:hAnsi="Times New Roman" w:cs="Times New Roman"/>
          <w:b/>
          <w:sz w:val="22"/>
          <w:szCs w:val="28"/>
          <w:lang w:val="en-GB"/>
        </w:rPr>
        <w:t>permanent residence</w:t>
      </w:r>
      <w:r w:rsidR="00874228">
        <w:rPr>
          <w:rFonts w:ascii="Times New Roman" w:hAnsi="Times New Roman" w:cs="Times New Roman"/>
          <w:sz w:val="22"/>
          <w:szCs w:val="28"/>
          <w:lang w:val="en-GB"/>
        </w:rPr>
        <w:t xml:space="preserve">. The </w:t>
      </w:r>
      <w:r w:rsidR="00874228">
        <w:rPr>
          <w:rFonts w:ascii="Times New Roman" w:hAnsi="Times New Roman" w:cs="Times New Roman"/>
          <w:b/>
          <w:sz w:val="22"/>
          <w:szCs w:val="28"/>
          <w:lang w:val="en-GB"/>
        </w:rPr>
        <w:t>extended residence permit</w:t>
      </w:r>
      <w:r w:rsidR="00874228">
        <w:rPr>
          <w:rFonts w:ascii="Times New Roman" w:hAnsi="Times New Roman" w:cs="Times New Roman"/>
          <w:sz w:val="22"/>
          <w:szCs w:val="28"/>
          <w:lang w:val="en-GB"/>
        </w:rPr>
        <w:t xml:space="preserve"> may be issued for a period of 6 or 12 months. The </w:t>
      </w:r>
      <w:r w:rsidR="00874228" w:rsidRPr="00874228">
        <w:rPr>
          <w:rFonts w:ascii="Times New Roman" w:hAnsi="Times New Roman" w:cs="Times New Roman"/>
          <w:bCs/>
          <w:sz w:val="22"/>
          <w:szCs w:val="28"/>
          <w:lang w:val="en-GB"/>
        </w:rPr>
        <w:t>length of the duration of the permit is usually determined by the term of the lease, insurance, or other conditions that ensure that applicants meet the requirements for their stay in Bulgaria.</w:t>
      </w:r>
    </w:p>
    <w:p w14:paraId="0FDE39FB" w14:textId="5B631D56" w:rsidR="00874228" w:rsidRDefault="00874228" w:rsidP="00337204">
      <w:pPr>
        <w:pStyle w:val="PlainText"/>
        <w:jc w:val="both"/>
        <w:rPr>
          <w:rFonts w:ascii="Times New Roman" w:hAnsi="Times New Roman" w:cs="Times New Roman"/>
          <w:sz w:val="22"/>
          <w:szCs w:val="28"/>
          <w:lang w:val="en-GB"/>
        </w:rPr>
      </w:pPr>
    </w:p>
    <w:p w14:paraId="04694D34" w14:textId="6DA030E6" w:rsidR="00874228" w:rsidRPr="00874228" w:rsidRDefault="00874228" w:rsidP="00337204">
      <w:pPr>
        <w:pStyle w:val="PlainText"/>
        <w:jc w:val="both"/>
        <w:rPr>
          <w:rFonts w:ascii="Times New Roman" w:hAnsi="Times New Roman" w:cs="Times New Roman"/>
          <w:sz w:val="22"/>
          <w:szCs w:val="28"/>
          <w:lang w:val="en-GB"/>
        </w:rPr>
      </w:pPr>
      <w:r>
        <w:rPr>
          <w:rFonts w:ascii="Times New Roman" w:hAnsi="Times New Roman" w:cs="Times New Roman"/>
          <w:sz w:val="22"/>
          <w:szCs w:val="28"/>
          <w:lang w:val="en-GB"/>
        </w:rPr>
        <w:t xml:space="preserve">The </w:t>
      </w:r>
      <w:r>
        <w:rPr>
          <w:rFonts w:ascii="Times New Roman" w:hAnsi="Times New Roman" w:cs="Times New Roman"/>
          <w:b/>
          <w:sz w:val="22"/>
          <w:szCs w:val="28"/>
          <w:lang w:val="en-GB"/>
        </w:rPr>
        <w:t xml:space="preserve">extended residence permit </w:t>
      </w:r>
      <w:r>
        <w:rPr>
          <w:rFonts w:ascii="Times New Roman" w:hAnsi="Times New Roman" w:cs="Times New Roman"/>
          <w:sz w:val="22"/>
          <w:szCs w:val="28"/>
          <w:lang w:val="en-US"/>
        </w:rPr>
        <w:t xml:space="preserve">may be </w:t>
      </w:r>
      <w:r>
        <w:rPr>
          <w:rFonts w:ascii="Times New Roman" w:hAnsi="Times New Roman" w:cs="Times New Roman"/>
          <w:b/>
          <w:sz w:val="22"/>
          <w:szCs w:val="28"/>
          <w:lang w:val="en-US"/>
        </w:rPr>
        <w:t xml:space="preserve">renewed </w:t>
      </w:r>
      <w:r>
        <w:rPr>
          <w:rFonts w:ascii="Times New Roman" w:hAnsi="Times New Roman" w:cs="Times New Roman"/>
          <w:sz w:val="22"/>
          <w:szCs w:val="28"/>
          <w:lang w:val="en-US"/>
        </w:rPr>
        <w:t xml:space="preserve">for a further </w:t>
      </w:r>
      <w:r>
        <w:rPr>
          <w:rFonts w:ascii="Times New Roman" w:hAnsi="Times New Roman" w:cs="Times New Roman"/>
          <w:b/>
          <w:sz w:val="22"/>
          <w:szCs w:val="28"/>
          <w:lang w:val="en-US"/>
        </w:rPr>
        <w:t xml:space="preserve">12 </w:t>
      </w:r>
      <w:r w:rsidRPr="00874228">
        <w:rPr>
          <w:rFonts w:ascii="Times New Roman" w:hAnsi="Times New Roman" w:cs="Times New Roman"/>
          <w:b/>
          <w:sz w:val="22"/>
          <w:szCs w:val="28"/>
          <w:lang w:val="en-US"/>
        </w:rPr>
        <w:t>months</w:t>
      </w:r>
      <w:r>
        <w:rPr>
          <w:rFonts w:ascii="Times New Roman" w:hAnsi="Times New Roman" w:cs="Times New Roman"/>
          <w:sz w:val="22"/>
          <w:szCs w:val="28"/>
          <w:lang w:val="en-US"/>
        </w:rPr>
        <w:t xml:space="preserve"> and there </w:t>
      </w:r>
      <w:r w:rsidRPr="00874228">
        <w:rPr>
          <w:rFonts w:ascii="Times New Roman" w:hAnsi="Times New Roman" w:cs="Times New Roman"/>
          <w:sz w:val="22"/>
          <w:szCs w:val="28"/>
          <w:lang w:val="en-US"/>
        </w:rPr>
        <w:t xml:space="preserve">is not limit on the amount of times </w:t>
      </w:r>
      <w:r w:rsidR="001706E0">
        <w:rPr>
          <w:rFonts w:ascii="Times New Roman" w:hAnsi="Times New Roman" w:cs="Times New Roman"/>
          <w:sz w:val="22"/>
          <w:szCs w:val="28"/>
          <w:lang w:val="en-US"/>
        </w:rPr>
        <w:t>applications for renewal may be submitted</w:t>
      </w:r>
      <w:r w:rsidRPr="00874228">
        <w:rPr>
          <w:rFonts w:ascii="Times New Roman" w:hAnsi="Times New Roman" w:cs="Times New Roman"/>
          <w:sz w:val="22"/>
          <w:szCs w:val="28"/>
          <w:lang w:val="en-US"/>
        </w:rPr>
        <w:t xml:space="preserve">. </w:t>
      </w:r>
      <w:r w:rsidR="001706E0">
        <w:rPr>
          <w:rFonts w:ascii="Times New Roman" w:hAnsi="Times New Roman" w:cs="Times New Roman"/>
          <w:sz w:val="22"/>
          <w:szCs w:val="28"/>
          <w:lang w:val="en-US"/>
        </w:rPr>
        <w:t xml:space="preserve">For the renewal of the permit the legal conditions that apply at the time of the first-time issued permit must continue to concur. Therefore, there is no need to carry out a new investment but the initial one must still be active. </w:t>
      </w:r>
      <w:r w:rsidRPr="00874228">
        <w:rPr>
          <w:rFonts w:ascii="Times New Roman" w:hAnsi="Times New Roman" w:cs="Times New Roman"/>
          <w:sz w:val="22"/>
          <w:szCs w:val="28"/>
          <w:lang w:val="en-US"/>
        </w:rPr>
        <w:t xml:space="preserve">There are no conditions for extension or renewal of the </w:t>
      </w:r>
      <w:r w:rsidRPr="00301983">
        <w:rPr>
          <w:rFonts w:ascii="Times New Roman" w:hAnsi="Times New Roman" w:cs="Times New Roman"/>
          <w:b/>
          <w:sz w:val="22"/>
          <w:szCs w:val="28"/>
          <w:lang w:val="en-US"/>
        </w:rPr>
        <w:t>permanent residence permit</w:t>
      </w:r>
      <w:r w:rsidRPr="00874228">
        <w:rPr>
          <w:rFonts w:ascii="Times New Roman" w:hAnsi="Times New Roman" w:cs="Times New Roman"/>
          <w:sz w:val="22"/>
          <w:szCs w:val="28"/>
          <w:lang w:val="en-US"/>
        </w:rPr>
        <w:t xml:space="preserve"> as it is not time-bound.</w:t>
      </w:r>
    </w:p>
    <w:p w14:paraId="5811DE4E" w14:textId="0F431D83" w:rsidR="00337204" w:rsidRDefault="00337204" w:rsidP="00337204">
      <w:pPr>
        <w:spacing w:after="0" w:line="240" w:lineRule="auto"/>
        <w:jc w:val="both"/>
        <w:rPr>
          <w:sz w:val="22"/>
          <w:lang w:eastAsia="en-GB"/>
        </w:rPr>
      </w:pPr>
    </w:p>
    <w:p w14:paraId="408A3B90" w14:textId="3CE9E8A9" w:rsidR="00337204" w:rsidRPr="00047AFC" w:rsidRDefault="00337204" w:rsidP="00337204">
      <w:pPr>
        <w:spacing w:after="0" w:line="240" w:lineRule="auto"/>
        <w:jc w:val="both"/>
        <w:rPr>
          <w:sz w:val="22"/>
          <w:lang w:eastAsia="en-GB"/>
        </w:rPr>
      </w:pPr>
      <w:r w:rsidRPr="00047AFC">
        <w:rPr>
          <w:sz w:val="22"/>
          <w:lang w:eastAsia="en-GB"/>
        </w:rPr>
        <w:t xml:space="preserve">Applications may be </w:t>
      </w:r>
      <w:r w:rsidRPr="00337204">
        <w:rPr>
          <w:b/>
          <w:sz w:val="22"/>
          <w:lang w:eastAsia="en-GB"/>
        </w:rPr>
        <w:t xml:space="preserve">turned down </w:t>
      </w:r>
      <w:r w:rsidRPr="00047AFC">
        <w:rPr>
          <w:sz w:val="22"/>
          <w:lang w:eastAsia="en-GB"/>
        </w:rPr>
        <w:t xml:space="preserve">on grounds of threat to national security of various natures, criminal activity, incompleteness of the application. </w:t>
      </w:r>
      <w:r w:rsidR="001706E0">
        <w:rPr>
          <w:sz w:val="22"/>
          <w:lang w:eastAsia="en-GB"/>
        </w:rPr>
        <w:t>Appeals may be lodged under the general law on administrative procedure.</w:t>
      </w:r>
    </w:p>
    <w:p w14:paraId="121BEC5D" w14:textId="77777777" w:rsidR="00337204" w:rsidRDefault="00337204" w:rsidP="00337204">
      <w:pPr>
        <w:pStyle w:val="MBT"/>
        <w:rPr>
          <w:lang w:val="en-GB"/>
        </w:rPr>
      </w:pPr>
    </w:p>
    <w:p w14:paraId="2E279E86" w14:textId="36DD384E" w:rsidR="00337204" w:rsidRDefault="00337204" w:rsidP="00301983">
      <w:pPr>
        <w:pStyle w:val="MBT"/>
        <w:rPr>
          <w:lang w:val="en-GB"/>
        </w:rPr>
      </w:pPr>
      <w:r>
        <w:rPr>
          <w:lang w:val="en-GB"/>
        </w:rPr>
        <w:t xml:space="preserve">There is </w:t>
      </w:r>
      <w:r>
        <w:rPr>
          <w:b/>
          <w:lang w:val="en-GB"/>
        </w:rPr>
        <w:t>no cap</w:t>
      </w:r>
      <w:r>
        <w:rPr>
          <w:lang w:val="en-GB"/>
        </w:rPr>
        <w:t xml:space="preserve"> on the number of applications for the schemes (both the extended and the permanent residence). </w:t>
      </w:r>
    </w:p>
    <w:p w14:paraId="40F95472" w14:textId="77777777" w:rsidR="00337204" w:rsidRDefault="00337204" w:rsidP="00337204">
      <w:pPr>
        <w:spacing w:after="0" w:line="240" w:lineRule="auto"/>
        <w:jc w:val="both"/>
        <w:rPr>
          <w:rFonts w:ascii="Century Gothic" w:hAnsi="Century Gothic"/>
          <w:bCs/>
        </w:rPr>
      </w:pPr>
    </w:p>
    <w:p w14:paraId="3829641E" w14:textId="02BF3314" w:rsidR="00337204" w:rsidRDefault="00337204" w:rsidP="00337204">
      <w:pPr>
        <w:pStyle w:val="MBT"/>
      </w:pPr>
      <w:r>
        <w:t xml:space="preserve">Third-country nationals who have obtained an extended residence permit or a permanent residence permit have </w:t>
      </w:r>
      <w:r>
        <w:rPr>
          <w:b/>
        </w:rPr>
        <w:t>all the rights and obligations</w:t>
      </w:r>
      <w:r>
        <w:t xml:space="preserve"> granted to or imposed on the Bulgarian citizens, with the exception of the rights and obligations for which Bulgarian citizenship is required,</w:t>
      </w:r>
      <w:r>
        <w:rPr>
          <w:rStyle w:val="FootnoteReference"/>
        </w:rPr>
        <w:footnoteReference w:id="17"/>
      </w:r>
      <w:r>
        <w:t xml:space="preserve"> as explicitly stated in both Article 3 of the Foreign Nationals act and Article 26, paragraph 2 of the Constitution of the Republic of Bulgaria,</w:t>
      </w:r>
      <w:r>
        <w:rPr>
          <w:rStyle w:val="FootnoteReference"/>
        </w:rPr>
        <w:footnoteReference w:id="18"/>
      </w:r>
      <w:r>
        <w:t xml:space="preserve"> those rights being the right to be elected as a Member of Parliament and the right to be elected president. This applies for </w:t>
      </w:r>
      <w:r>
        <w:rPr>
          <w:b/>
        </w:rPr>
        <w:t xml:space="preserve">all third-country nationals legally residing </w:t>
      </w:r>
      <w:r>
        <w:t xml:space="preserve">on the territory of the Republic of Bulgaria. </w:t>
      </w:r>
      <w:r>
        <w:rPr>
          <w:lang w:val="en-GB"/>
        </w:rPr>
        <w:t>No special tax regimes were identified as a</w:t>
      </w:r>
      <w:r w:rsidR="00EE5E39">
        <w:t>according</w:t>
      </w:r>
      <w:r>
        <w:t xml:space="preserve"> to </w:t>
      </w:r>
      <w:r w:rsidR="001706E0">
        <w:t xml:space="preserve">the </w:t>
      </w:r>
      <w:r>
        <w:t>Law on Taxation of Individuals</w:t>
      </w:r>
      <w:r w:rsidR="00190E8E">
        <w:t>,</w:t>
      </w:r>
      <w:r>
        <w:rPr>
          <w:rStyle w:val="FootnoteReference"/>
        </w:rPr>
        <w:footnoteReference w:id="19"/>
      </w:r>
      <w:r>
        <w:t xml:space="preserve"> third-country nationals holding residence permits are considered “local individuals regardless of nationality” and as such they pay the same type and amount of taxes as any </w:t>
      </w:r>
      <w:r>
        <w:lastRenderedPageBreak/>
        <w:t xml:space="preserve">Bulgarian citizen. </w:t>
      </w:r>
    </w:p>
    <w:bookmarkEnd w:id="2"/>
    <w:p w14:paraId="765240DB" w14:textId="6FE1EAF9" w:rsidR="00CD68E8" w:rsidRDefault="00CD68E8" w:rsidP="00337204">
      <w:pPr>
        <w:pStyle w:val="MMultilevel"/>
        <w:numPr>
          <w:ilvl w:val="0"/>
          <w:numId w:val="0"/>
        </w:numPr>
        <w:rPr>
          <w:lang w:val="en-GB"/>
        </w:rPr>
      </w:pPr>
    </w:p>
    <w:p w14:paraId="4B168E3F" w14:textId="77777777" w:rsidR="008B20B0" w:rsidRDefault="008B20B0" w:rsidP="008B20B0">
      <w:r>
        <w:rPr>
          <w:b/>
          <w:bCs/>
          <w:i/>
          <w:sz w:val="22"/>
          <w:szCs w:val="22"/>
        </w:rPr>
        <w:t>Link between the residence and citizenship investor schemes</w:t>
      </w:r>
    </w:p>
    <w:p w14:paraId="1D8862B8" w14:textId="28BAE529" w:rsidR="008221C6" w:rsidRDefault="00EE5E39" w:rsidP="00EE5E39">
      <w:pPr>
        <w:spacing w:after="0" w:line="240" w:lineRule="auto"/>
        <w:jc w:val="both"/>
        <w:rPr>
          <w:sz w:val="22"/>
          <w:szCs w:val="22"/>
          <w:lang w:eastAsia="en-GB"/>
        </w:rPr>
      </w:pPr>
      <w:r>
        <w:rPr>
          <w:sz w:val="22"/>
          <w:szCs w:val="22"/>
          <w:lang w:eastAsia="en-GB"/>
        </w:rPr>
        <w:t>Foreign investors, as any other third-country nationals</w:t>
      </w:r>
      <w:r w:rsidR="008221C6">
        <w:rPr>
          <w:sz w:val="22"/>
          <w:szCs w:val="22"/>
          <w:lang w:eastAsia="en-GB"/>
        </w:rPr>
        <w:t>,</w:t>
      </w:r>
      <w:r>
        <w:rPr>
          <w:sz w:val="22"/>
          <w:szCs w:val="22"/>
          <w:lang w:eastAsia="en-GB"/>
        </w:rPr>
        <w:t xml:space="preserve"> may be naturalised under the general rules of Article 12 BCA</w:t>
      </w:r>
      <w:r w:rsidR="00190E8E">
        <w:rPr>
          <w:sz w:val="22"/>
          <w:szCs w:val="22"/>
          <w:lang w:eastAsia="en-GB"/>
        </w:rPr>
        <w:t>.</w:t>
      </w:r>
      <w:r w:rsidR="00E944C7">
        <w:rPr>
          <w:rStyle w:val="FootnoteReference"/>
          <w:sz w:val="22"/>
          <w:szCs w:val="22"/>
          <w:lang w:eastAsia="en-GB"/>
        </w:rPr>
        <w:footnoteReference w:id="20"/>
      </w:r>
      <w:r w:rsidRPr="00EE5E39">
        <w:rPr>
          <w:sz w:val="22"/>
          <w:szCs w:val="22"/>
          <w:lang w:eastAsia="en-GB"/>
        </w:rPr>
        <w:t xml:space="preserve"> </w:t>
      </w:r>
    </w:p>
    <w:p w14:paraId="73340872" w14:textId="77777777" w:rsidR="008221C6" w:rsidRDefault="008221C6" w:rsidP="00EE5E39">
      <w:pPr>
        <w:spacing w:after="0" w:line="240" w:lineRule="auto"/>
        <w:jc w:val="both"/>
        <w:rPr>
          <w:sz w:val="22"/>
          <w:szCs w:val="22"/>
          <w:lang w:eastAsia="en-GB"/>
        </w:rPr>
      </w:pPr>
    </w:p>
    <w:p w14:paraId="59DA7DFC" w14:textId="79F344A8" w:rsidR="001E2F9F" w:rsidRDefault="008221C6" w:rsidP="001E2F9F">
      <w:pPr>
        <w:spacing w:after="0" w:line="240" w:lineRule="auto"/>
        <w:jc w:val="both"/>
        <w:rPr>
          <w:sz w:val="22"/>
          <w:szCs w:val="22"/>
          <w:lang w:eastAsia="en-GB"/>
        </w:rPr>
      </w:pPr>
      <w:r>
        <w:rPr>
          <w:sz w:val="22"/>
          <w:szCs w:val="22"/>
          <w:lang w:eastAsia="en-GB"/>
        </w:rPr>
        <w:t>S</w:t>
      </w:r>
      <w:r w:rsidR="00E944C7">
        <w:rPr>
          <w:sz w:val="22"/>
          <w:szCs w:val="22"/>
          <w:lang w:eastAsia="en-GB"/>
        </w:rPr>
        <w:t xml:space="preserve">uccessful applicants in investors’ citizenship schemes may obtain the Bulgarian citizenship more directly as </w:t>
      </w:r>
      <w:r w:rsidR="001E2F9F">
        <w:rPr>
          <w:sz w:val="22"/>
          <w:szCs w:val="22"/>
          <w:lang w:eastAsia="en-GB"/>
        </w:rPr>
        <w:t>general naturalisation rules on sufficient subsistence means, command of the Bulgarian language and renunciation of other citizenships</w:t>
      </w:r>
      <w:r w:rsidR="00E944C7">
        <w:rPr>
          <w:sz w:val="22"/>
          <w:szCs w:val="22"/>
          <w:lang w:eastAsia="en-GB"/>
        </w:rPr>
        <w:t xml:space="preserve"> are waived in exchange for the investment made. Furthermore, the condition on the prior residence </w:t>
      </w:r>
      <w:r w:rsidR="001E2F9F">
        <w:rPr>
          <w:sz w:val="22"/>
          <w:szCs w:val="22"/>
          <w:lang w:eastAsia="en-GB"/>
        </w:rPr>
        <w:t xml:space="preserve">(of 10 years) </w:t>
      </w:r>
      <w:r w:rsidR="00E944C7">
        <w:rPr>
          <w:sz w:val="22"/>
          <w:szCs w:val="22"/>
          <w:lang w:eastAsia="en-GB"/>
        </w:rPr>
        <w:t xml:space="preserve">is also considerably alleviated. </w:t>
      </w:r>
      <w:r w:rsidR="001E2F9F">
        <w:rPr>
          <w:sz w:val="22"/>
          <w:szCs w:val="22"/>
          <w:lang w:eastAsia="en-GB"/>
        </w:rPr>
        <w:t>This same general naturalisation rules waived for foreign investors to obtain the Bulgarian citizenship are waived when applying for permanent residence.</w:t>
      </w:r>
    </w:p>
    <w:p w14:paraId="6F57E17B" w14:textId="77777777" w:rsidR="001E2F9F" w:rsidRDefault="001E2F9F" w:rsidP="00EE5E39">
      <w:pPr>
        <w:spacing w:after="0" w:line="240" w:lineRule="auto"/>
        <w:jc w:val="both"/>
        <w:rPr>
          <w:sz w:val="22"/>
          <w:szCs w:val="22"/>
          <w:lang w:eastAsia="en-GB"/>
        </w:rPr>
      </w:pPr>
    </w:p>
    <w:p w14:paraId="2944738D" w14:textId="1C941053" w:rsidR="001E2F9F" w:rsidRDefault="00E944C7" w:rsidP="00EE5E39">
      <w:pPr>
        <w:spacing w:after="0" w:line="240" w:lineRule="auto"/>
        <w:jc w:val="both"/>
        <w:rPr>
          <w:sz w:val="22"/>
          <w:szCs w:val="22"/>
          <w:lang w:eastAsia="en-GB"/>
        </w:rPr>
      </w:pPr>
      <w:r>
        <w:rPr>
          <w:sz w:val="22"/>
          <w:szCs w:val="22"/>
          <w:lang w:eastAsia="en-GB"/>
        </w:rPr>
        <w:t>F</w:t>
      </w:r>
      <w:r w:rsidR="001E2F9F">
        <w:rPr>
          <w:sz w:val="22"/>
          <w:szCs w:val="22"/>
          <w:lang w:eastAsia="en-GB"/>
        </w:rPr>
        <w:t xml:space="preserve">urthermore, </w:t>
      </w:r>
      <w:r w:rsidR="00C20337">
        <w:rPr>
          <w:sz w:val="22"/>
          <w:szCs w:val="22"/>
          <w:lang w:eastAsia="en-GB"/>
        </w:rPr>
        <w:t xml:space="preserve">since </w:t>
      </w:r>
      <w:r w:rsidR="001E2F9F">
        <w:rPr>
          <w:sz w:val="22"/>
          <w:szCs w:val="22"/>
          <w:lang w:eastAsia="en-GB"/>
        </w:rPr>
        <w:t>f</w:t>
      </w:r>
      <w:r>
        <w:rPr>
          <w:sz w:val="22"/>
          <w:szCs w:val="22"/>
          <w:lang w:eastAsia="en-GB"/>
        </w:rPr>
        <w:t>oreign investors may directly apply for permanent residence under investors’ residence schemes the total length of the prior residence requirement</w:t>
      </w:r>
      <w:r w:rsidR="00C20337">
        <w:rPr>
          <w:sz w:val="22"/>
          <w:szCs w:val="22"/>
          <w:lang w:eastAsia="en-GB"/>
        </w:rPr>
        <w:t xml:space="preserve"> for naturalisation is reduced</w:t>
      </w:r>
      <w:r>
        <w:rPr>
          <w:sz w:val="22"/>
          <w:szCs w:val="22"/>
          <w:lang w:eastAsia="en-GB"/>
        </w:rPr>
        <w:t xml:space="preserve"> by five years (ordinary citizenship scheme) or by nine years (fast-track citizenship scheme).</w:t>
      </w:r>
      <w:r w:rsidR="008221C6">
        <w:rPr>
          <w:sz w:val="22"/>
          <w:szCs w:val="22"/>
          <w:lang w:eastAsia="en-GB"/>
        </w:rPr>
        <w:t xml:space="preserve"> In addition, the physical presence of the foreign investor is not required, unlike in naturalisation procedures where the continuous physical presence of the third-country national is required.</w:t>
      </w:r>
      <w:r w:rsidR="001E2F9F">
        <w:rPr>
          <w:sz w:val="22"/>
          <w:szCs w:val="22"/>
          <w:lang w:eastAsia="en-GB"/>
        </w:rPr>
        <w:t xml:space="preserve"> </w:t>
      </w:r>
    </w:p>
    <w:p w14:paraId="0425BBC0" w14:textId="77777777" w:rsidR="00FB3518" w:rsidRDefault="00FB3518" w:rsidP="001706E0">
      <w:pPr>
        <w:spacing w:after="0" w:line="240" w:lineRule="auto"/>
        <w:jc w:val="both"/>
        <w:rPr>
          <w:sz w:val="22"/>
          <w:szCs w:val="22"/>
          <w:lang w:eastAsia="en-GB"/>
        </w:rPr>
      </w:pPr>
    </w:p>
    <w:p w14:paraId="383168B9" w14:textId="7BBB3D4D" w:rsidR="004C00F6" w:rsidRPr="00FB3518" w:rsidRDefault="004C00F6" w:rsidP="001706E0">
      <w:pPr>
        <w:spacing w:after="0" w:line="240" w:lineRule="auto"/>
        <w:jc w:val="both"/>
        <w:rPr>
          <w:b/>
          <w:i/>
          <w:sz w:val="22"/>
          <w:szCs w:val="22"/>
          <w:lang w:eastAsia="en-GB"/>
        </w:rPr>
      </w:pPr>
      <w:r>
        <w:rPr>
          <w:b/>
          <w:i/>
          <w:sz w:val="22"/>
          <w:szCs w:val="22"/>
          <w:lang w:eastAsia="en-GB"/>
        </w:rPr>
        <w:t>Numbers involved</w:t>
      </w:r>
    </w:p>
    <w:p w14:paraId="43CACBD3" w14:textId="77777777" w:rsidR="004C00F6" w:rsidRDefault="004C00F6" w:rsidP="00337204">
      <w:pPr>
        <w:pStyle w:val="MMultilevel"/>
        <w:numPr>
          <w:ilvl w:val="0"/>
          <w:numId w:val="0"/>
        </w:numPr>
        <w:rPr>
          <w:lang w:val="en-GB"/>
        </w:rPr>
      </w:pPr>
    </w:p>
    <w:p w14:paraId="70257442" w14:textId="21B48EDE" w:rsidR="00075397" w:rsidRDefault="00BB372D" w:rsidP="00337204">
      <w:pPr>
        <w:pStyle w:val="MMultilevel"/>
        <w:numPr>
          <w:ilvl w:val="0"/>
          <w:numId w:val="0"/>
        </w:numPr>
      </w:pPr>
      <w:r>
        <w:rPr>
          <w:lang w:val="en-GB"/>
        </w:rPr>
        <w:t>I</w:t>
      </w:r>
      <w:r w:rsidRPr="00BB372D">
        <w:rPr>
          <w:lang w:val="en-GB"/>
        </w:rPr>
        <w:t xml:space="preserve">nformation on the number of persons who successfully obtain citizenship, refusals or total number of applications is compiled in private databases of the Migration Directorate and the Presidency. The only public information is found in </w:t>
      </w:r>
      <w:r w:rsidRPr="00BB372D">
        <w:rPr>
          <w:lang w:val="en"/>
        </w:rPr>
        <w:t>Reports of the Bulgarian Citizenship and Bulgarians Abroad Committee</w:t>
      </w:r>
      <w:r w:rsidRPr="00BB372D">
        <w:rPr>
          <w:lang w:val="en-GB"/>
        </w:rPr>
        <w:t xml:space="preserve"> at the President’s office</w:t>
      </w:r>
      <w:r w:rsidRPr="00BB372D">
        <w:rPr>
          <w:vertAlign w:val="superscript"/>
          <w:lang w:val="en-GB"/>
        </w:rPr>
        <w:footnoteReference w:id="21"/>
      </w:r>
      <w:r w:rsidRPr="00BB372D">
        <w:rPr>
          <w:lang w:val="en-GB"/>
        </w:rPr>
        <w:t xml:space="preserve"> – those reports only feature the total number of issued citizenships, and do not give details as to the legal basis on which citizenship is granted.</w:t>
      </w:r>
      <w:r w:rsidR="00CD68E8">
        <w:t xml:space="preserve"> </w:t>
      </w:r>
      <w:r w:rsidR="00075397">
        <w:t xml:space="preserve">The Ministry of Economy has no overall information on the number of citizenship certificates issued to foreign investors either. </w:t>
      </w:r>
      <w:r w:rsidR="00B6730B">
        <w:t xml:space="preserve">According to </w:t>
      </w:r>
      <w:r w:rsidR="00B6730B" w:rsidRPr="00B6730B">
        <w:rPr>
          <w:lang w:val="en-GB"/>
        </w:rPr>
        <w:t>public information from the Presidency of Bulgaria,</w:t>
      </w:r>
      <w:r w:rsidR="00075397">
        <w:t xml:space="preserve"> </w:t>
      </w:r>
      <w:r w:rsidR="00B6730B">
        <w:t xml:space="preserve">12 </w:t>
      </w:r>
      <w:r w:rsidR="00075397">
        <w:t>applications</w:t>
      </w:r>
      <w:r w:rsidR="00B6730B">
        <w:t xml:space="preserve"> were successful for investors</w:t>
      </w:r>
      <w:r w:rsidR="00B6730B" w:rsidRPr="00B6730B">
        <w:rPr>
          <w:lang w:val="en-GB"/>
        </w:rPr>
        <w:t>’ citizenship under the fast-track scheme</w:t>
      </w:r>
      <w:r w:rsidR="00B6730B">
        <w:t xml:space="preserve"> in 2017</w:t>
      </w:r>
      <w:r w:rsidR="00075397">
        <w:t>.</w:t>
      </w:r>
      <w:r w:rsidR="00B6730B" w:rsidRPr="00B6730B">
        <w:rPr>
          <w:vertAlign w:val="superscript"/>
          <w:lang w:val="en-GB"/>
        </w:rPr>
        <w:footnoteReference w:id="22"/>
      </w:r>
    </w:p>
    <w:p w14:paraId="13B992F8" w14:textId="5147DF40" w:rsidR="00075397" w:rsidRDefault="00075397" w:rsidP="00337204">
      <w:pPr>
        <w:pStyle w:val="MMultilevel"/>
        <w:numPr>
          <w:ilvl w:val="0"/>
          <w:numId w:val="0"/>
        </w:numPr>
      </w:pPr>
    </w:p>
    <w:p w14:paraId="0CA63EA6" w14:textId="77777777" w:rsidR="00075397" w:rsidRDefault="00075397" w:rsidP="00075397">
      <w:pPr>
        <w:pStyle w:val="MMultilevel"/>
        <w:numPr>
          <w:ilvl w:val="0"/>
          <w:numId w:val="0"/>
        </w:numPr>
        <w:rPr>
          <w:lang w:val="en-GB"/>
        </w:rPr>
      </w:pPr>
      <w:r w:rsidRPr="00CD68E8">
        <w:t>Stakeholder consultations reveale</w:t>
      </w:r>
      <w:r>
        <w:t>d that t</w:t>
      </w:r>
      <w:r>
        <w:rPr>
          <w:lang w:val="en-GB"/>
        </w:rPr>
        <w:t xml:space="preserve">here is </w:t>
      </w:r>
      <w:r>
        <w:rPr>
          <w:b/>
          <w:lang w:val="en-GB"/>
        </w:rPr>
        <w:t>no mechanism</w:t>
      </w:r>
      <w:r>
        <w:rPr>
          <w:lang w:val="en-GB"/>
        </w:rPr>
        <w:t xml:space="preserve"> for measuring the </w:t>
      </w:r>
      <w:r w:rsidRPr="002A5134">
        <w:rPr>
          <w:b/>
          <w:lang w:val="en-GB"/>
        </w:rPr>
        <w:t>economic and financial efficiency</w:t>
      </w:r>
      <w:r>
        <w:rPr>
          <w:lang w:val="en-GB"/>
        </w:rPr>
        <w:t xml:space="preserve"> of the investments made in exchange for receiving residence permits or Bulgarian citizenship. It cannot be determined whether in practice investors’ schemes have met the expectations for which they were created as those expectations have not been made public.</w:t>
      </w:r>
    </w:p>
    <w:p w14:paraId="68010FE0" w14:textId="77777777" w:rsidR="00CD68E8" w:rsidRDefault="00CD68E8" w:rsidP="00337204">
      <w:pPr>
        <w:pStyle w:val="MMultilevel"/>
        <w:numPr>
          <w:ilvl w:val="0"/>
          <w:numId w:val="0"/>
        </w:numPr>
        <w:rPr>
          <w:lang w:val="en-GB"/>
        </w:rPr>
      </w:pPr>
    </w:p>
    <w:p w14:paraId="65050C29" w14:textId="070566CC" w:rsidR="00561E43" w:rsidRDefault="00075397" w:rsidP="00337204">
      <w:pPr>
        <w:pStyle w:val="MMultilevel"/>
        <w:numPr>
          <w:ilvl w:val="0"/>
          <w:numId w:val="0"/>
        </w:numPr>
        <w:rPr>
          <w:lang w:val="en-GB"/>
        </w:rPr>
      </w:pPr>
      <w:r>
        <w:rPr>
          <w:lang w:val="en-GB"/>
        </w:rPr>
        <w:t>However, taking into consideration the statistics obtained on extended residence and permanent residence, some calculations on the income generated can be drawn</w:t>
      </w:r>
      <w:r w:rsidR="00B6730B">
        <w:rPr>
          <w:lang w:val="en-GB"/>
        </w:rPr>
        <w:t xml:space="preserve"> </w:t>
      </w:r>
      <w:r w:rsidR="00B6730B">
        <w:rPr>
          <w:lang w:val="en-GB"/>
        </w:rPr>
        <w:t xml:space="preserve">(see </w:t>
      </w:r>
      <w:r w:rsidR="00B6730B">
        <w:rPr>
          <w:lang w:val="en-GB"/>
        </w:rPr>
        <w:fldChar w:fldCharType="begin"/>
      </w:r>
      <w:r w:rsidR="00B6730B">
        <w:rPr>
          <w:lang w:val="en-GB"/>
        </w:rPr>
        <w:instrText xml:space="preserve"> REF _Ref521505899 \h </w:instrText>
      </w:r>
      <w:r w:rsidR="00B6730B">
        <w:rPr>
          <w:lang w:val="en-GB"/>
        </w:rPr>
      </w:r>
      <w:r w:rsidR="00B6730B">
        <w:rPr>
          <w:lang w:val="en-GB"/>
        </w:rPr>
        <w:fldChar w:fldCharType="separate"/>
      </w:r>
      <w:r w:rsidR="00B6730B" w:rsidRPr="00355CEC">
        <w:rPr>
          <w:b/>
        </w:rPr>
        <w:t xml:space="preserve">Table </w:t>
      </w:r>
      <w:r w:rsidR="00B6730B">
        <w:rPr>
          <w:b/>
          <w:noProof/>
        </w:rPr>
        <w:t>3</w:t>
      </w:r>
      <w:r w:rsidR="00B6730B">
        <w:rPr>
          <w:lang w:val="en-GB"/>
        </w:rPr>
        <w:fldChar w:fldCharType="end"/>
      </w:r>
      <w:r w:rsidR="00B6730B">
        <w:rPr>
          <w:lang w:val="en-GB"/>
        </w:rPr>
        <w:t xml:space="preserve"> below)</w:t>
      </w:r>
      <w:r>
        <w:rPr>
          <w:lang w:val="en-GB"/>
        </w:rPr>
        <w:t>.</w:t>
      </w:r>
      <w:r w:rsidR="00A65170">
        <w:rPr>
          <w:lang w:val="en-GB"/>
        </w:rPr>
        <w:t xml:space="preserve"> </w:t>
      </w:r>
    </w:p>
    <w:p w14:paraId="1F3C2099" w14:textId="77777777" w:rsidR="00B30C6F" w:rsidRDefault="00B30C6F" w:rsidP="00337204">
      <w:pPr>
        <w:pStyle w:val="MMultilevel"/>
        <w:numPr>
          <w:ilvl w:val="0"/>
          <w:numId w:val="0"/>
        </w:numPr>
        <w:rPr>
          <w:lang w:val="en-GB"/>
        </w:rPr>
      </w:pPr>
    </w:p>
    <w:p w14:paraId="16A31DED" w14:textId="2037F04E" w:rsidR="00A65170" w:rsidRPr="00355CEC" w:rsidRDefault="00A65170" w:rsidP="00355CEC">
      <w:pPr>
        <w:pStyle w:val="Caption"/>
        <w:keepNext/>
        <w:rPr>
          <w:b/>
        </w:rPr>
      </w:pPr>
      <w:bookmarkStart w:id="5" w:name="_Ref521505899"/>
      <w:r w:rsidRPr="00355CEC">
        <w:rPr>
          <w:b/>
          <w:i w:val="0"/>
        </w:rPr>
        <w:lastRenderedPageBreak/>
        <w:t xml:space="preserve">Table </w:t>
      </w:r>
      <w:r w:rsidRPr="00355CEC">
        <w:rPr>
          <w:b/>
          <w:i w:val="0"/>
        </w:rPr>
        <w:fldChar w:fldCharType="begin"/>
      </w:r>
      <w:r w:rsidRPr="00355CEC">
        <w:rPr>
          <w:b/>
          <w:i w:val="0"/>
        </w:rPr>
        <w:instrText xml:space="preserve"> SEQ Table \* ARABIC </w:instrText>
      </w:r>
      <w:r w:rsidRPr="00355CEC">
        <w:rPr>
          <w:b/>
          <w:i w:val="0"/>
        </w:rPr>
        <w:fldChar w:fldCharType="separate"/>
      </w:r>
      <w:r w:rsidR="00124983">
        <w:rPr>
          <w:b/>
          <w:i w:val="0"/>
          <w:noProof/>
        </w:rPr>
        <w:t>3</w:t>
      </w:r>
      <w:r w:rsidRPr="00355CEC">
        <w:rPr>
          <w:b/>
          <w:i w:val="0"/>
        </w:rPr>
        <w:fldChar w:fldCharType="end"/>
      </w:r>
      <w:bookmarkEnd w:id="5"/>
      <w:r w:rsidRPr="00355CEC">
        <w:rPr>
          <w:b/>
          <w:i w:val="0"/>
        </w:rPr>
        <w:t xml:space="preserve"> Number of </w:t>
      </w:r>
      <w:r w:rsidRPr="00A65170">
        <w:rPr>
          <w:b/>
          <w:i w:val="0"/>
        </w:rPr>
        <w:t>successful</w:t>
      </w:r>
      <w:r w:rsidRPr="00355CEC">
        <w:rPr>
          <w:b/>
          <w:i w:val="0"/>
        </w:rPr>
        <w:t xml:space="preserve"> applications for extended residence (Article 24(1)(19 and 20) and permanent residence (Article 25(1), 6, 7, ,8, 13 and 16) and the income generated (2012 - 2017)</w:t>
      </w:r>
    </w:p>
    <w:tbl>
      <w:tblPr>
        <w:tblStyle w:val="GridTable5Dark-Accent1"/>
        <w:tblW w:w="5000" w:type="pct"/>
        <w:tblLook w:val="04A0" w:firstRow="1" w:lastRow="0" w:firstColumn="1" w:lastColumn="0" w:noHBand="0" w:noVBand="1"/>
      </w:tblPr>
      <w:tblGrid>
        <w:gridCol w:w="1161"/>
        <w:gridCol w:w="857"/>
        <w:gridCol w:w="1231"/>
        <w:gridCol w:w="1290"/>
        <w:gridCol w:w="1291"/>
        <w:gridCol w:w="1293"/>
        <w:gridCol w:w="1026"/>
        <w:gridCol w:w="857"/>
      </w:tblGrid>
      <w:tr w:rsidR="00A65170" w:rsidRPr="00A65170" w14:paraId="4012F80C" w14:textId="77777777" w:rsidTr="00355C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0BDA511B" w14:textId="77777777" w:rsidR="00B30C6F" w:rsidRPr="00355CEC" w:rsidRDefault="00B30C6F" w:rsidP="00355CEC">
            <w:pPr>
              <w:pStyle w:val="MMultilevel"/>
              <w:numPr>
                <w:ilvl w:val="0"/>
                <w:numId w:val="0"/>
              </w:numPr>
              <w:jc w:val="center"/>
              <w:rPr>
                <w:rFonts w:ascii="Century Gothic" w:hAnsi="Century Gothic"/>
                <w:sz w:val="18"/>
                <w:szCs w:val="18"/>
                <w:lang w:val="en-GB"/>
              </w:rPr>
            </w:pPr>
          </w:p>
        </w:tc>
        <w:tc>
          <w:tcPr>
            <w:tcW w:w="0"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51662085" w14:textId="73EFD636" w:rsidR="00B30C6F" w:rsidRPr="00355CEC" w:rsidRDefault="00B30C6F" w:rsidP="00355CEC">
            <w:pPr>
              <w:pStyle w:val="MMultile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Art. 24(1)19</w:t>
            </w:r>
          </w:p>
        </w:tc>
        <w:tc>
          <w:tcPr>
            <w:tcW w:w="0"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55FA727F" w14:textId="12860BF2" w:rsidR="00B30C6F" w:rsidRPr="00355CEC" w:rsidRDefault="00B30C6F" w:rsidP="00355CEC">
            <w:pPr>
              <w:pStyle w:val="MMultile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Art. 24(1)20</w:t>
            </w:r>
          </w:p>
        </w:tc>
        <w:tc>
          <w:tcPr>
            <w:tcW w:w="0"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0407465C" w14:textId="32390100" w:rsidR="00B30C6F" w:rsidRPr="00355CEC" w:rsidRDefault="00B30C6F" w:rsidP="00355CEC">
            <w:pPr>
              <w:pStyle w:val="MMultile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Art. 25(1)6</w:t>
            </w:r>
          </w:p>
        </w:tc>
        <w:tc>
          <w:tcPr>
            <w:tcW w:w="0"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2622F132" w14:textId="47A6BCAD" w:rsidR="00B30C6F" w:rsidRPr="00355CEC" w:rsidRDefault="00B30C6F" w:rsidP="00355CEC">
            <w:pPr>
              <w:pStyle w:val="MMultile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Art. 25(1)7</w:t>
            </w:r>
          </w:p>
        </w:tc>
        <w:tc>
          <w:tcPr>
            <w:tcW w:w="0"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258BC05D" w14:textId="764475E1" w:rsidR="00B30C6F" w:rsidRPr="00355CEC" w:rsidRDefault="00B30C6F" w:rsidP="00355CEC">
            <w:pPr>
              <w:pStyle w:val="MMultile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Art. 25(1)8</w:t>
            </w:r>
          </w:p>
        </w:tc>
        <w:tc>
          <w:tcPr>
            <w:tcW w:w="0"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7D5F8846" w14:textId="67D2B0FA" w:rsidR="00B30C6F" w:rsidRPr="00355CEC" w:rsidRDefault="00B30C6F" w:rsidP="00355CEC">
            <w:pPr>
              <w:pStyle w:val="MMultile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Art. 25(1)13</w:t>
            </w:r>
          </w:p>
        </w:tc>
        <w:tc>
          <w:tcPr>
            <w:tcW w:w="0"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tcPr>
          <w:p w14:paraId="54FBD320" w14:textId="4352B614" w:rsidR="00B30C6F" w:rsidRPr="00355CEC" w:rsidRDefault="00B30C6F" w:rsidP="00355CEC">
            <w:pPr>
              <w:pStyle w:val="MMultilevel"/>
              <w:numPr>
                <w:ilvl w:val="0"/>
                <w:numId w:val="0"/>
              </w:numPr>
              <w:jc w:val="center"/>
              <w:cnfStyle w:val="100000000000" w:firstRow="1"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Art. 25(1)16</w:t>
            </w:r>
          </w:p>
        </w:tc>
      </w:tr>
      <w:tr w:rsidR="00A65170" w:rsidRPr="00A65170" w14:paraId="5F6F62B4" w14:textId="77777777" w:rsidTr="00355C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Borders>
              <w:top w:val="single" w:sz="8" w:space="0" w:color="FFFFFF" w:themeColor="background1"/>
            </w:tcBorders>
          </w:tcPr>
          <w:p w14:paraId="7863E5AE" w14:textId="3B1FF67D" w:rsidR="00B30C6F" w:rsidRPr="00355CEC" w:rsidRDefault="00B30C6F" w:rsidP="00355CEC">
            <w:pPr>
              <w:pStyle w:val="MMultilevel"/>
              <w:numPr>
                <w:ilvl w:val="0"/>
                <w:numId w:val="0"/>
              </w:numPr>
              <w:jc w:val="center"/>
              <w:rPr>
                <w:rFonts w:ascii="Century Gothic" w:hAnsi="Century Gothic"/>
                <w:sz w:val="18"/>
                <w:szCs w:val="18"/>
                <w:lang w:val="en-GB"/>
              </w:rPr>
            </w:pPr>
            <w:r w:rsidRPr="00355CEC">
              <w:rPr>
                <w:rFonts w:ascii="Century Gothic" w:hAnsi="Century Gothic"/>
                <w:sz w:val="18"/>
                <w:szCs w:val="18"/>
                <w:lang w:val="en-GB"/>
              </w:rPr>
              <w:t>2012</w:t>
            </w:r>
          </w:p>
        </w:tc>
        <w:tc>
          <w:tcPr>
            <w:tcW w:w="0" w:type="pct"/>
            <w:tcBorders>
              <w:top w:val="single" w:sz="8" w:space="0" w:color="FFFFFF" w:themeColor="background1"/>
            </w:tcBorders>
          </w:tcPr>
          <w:p w14:paraId="2B6F29D1" w14:textId="722BF6DD"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0</w:t>
            </w:r>
          </w:p>
        </w:tc>
        <w:tc>
          <w:tcPr>
            <w:tcW w:w="0" w:type="pct"/>
            <w:tcBorders>
              <w:top w:val="single" w:sz="8" w:space="0" w:color="FFFFFF" w:themeColor="background1"/>
            </w:tcBorders>
          </w:tcPr>
          <w:p w14:paraId="62A3F617" w14:textId="41724636"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0</w:t>
            </w:r>
          </w:p>
        </w:tc>
        <w:tc>
          <w:tcPr>
            <w:tcW w:w="0" w:type="pct"/>
            <w:tcBorders>
              <w:top w:val="single" w:sz="8" w:space="0" w:color="FFFFFF" w:themeColor="background1"/>
            </w:tcBorders>
          </w:tcPr>
          <w:p w14:paraId="4724AEEA" w14:textId="7F195492"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18</w:t>
            </w:r>
          </w:p>
        </w:tc>
        <w:tc>
          <w:tcPr>
            <w:tcW w:w="0" w:type="pct"/>
            <w:tcBorders>
              <w:top w:val="single" w:sz="8" w:space="0" w:color="FFFFFF" w:themeColor="background1"/>
            </w:tcBorders>
          </w:tcPr>
          <w:p w14:paraId="655729B0" w14:textId="59167D4B"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31</w:t>
            </w:r>
          </w:p>
        </w:tc>
        <w:tc>
          <w:tcPr>
            <w:tcW w:w="0" w:type="pct"/>
            <w:tcBorders>
              <w:top w:val="single" w:sz="8" w:space="0" w:color="FFFFFF" w:themeColor="background1"/>
            </w:tcBorders>
          </w:tcPr>
          <w:p w14:paraId="5BE7273E" w14:textId="57EEEF0D"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1</w:t>
            </w:r>
          </w:p>
        </w:tc>
        <w:tc>
          <w:tcPr>
            <w:tcW w:w="0" w:type="pct"/>
            <w:tcBorders>
              <w:top w:val="single" w:sz="8" w:space="0" w:color="FFFFFF" w:themeColor="background1"/>
            </w:tcBorders>
          </w:tcPr>
          <w:p w14:paraId="4DD95B5A" w14:textId="3D73CCD2"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2</w:t>
            </w:r>
          </w:p>
        </w:tc>
        <w:tc>
          <w:tcPr>
            <w:tcW w:w="0" w:type="pct"/>
            <w:tcBorders>
              <w:top w:val="single" w:sz="8" w:space="0" w:color="FFFFFF" w:themeColor="background1"/>
            </w:tcBorders>
          </w:tcPr>
          <w:p w14:paraId="26925FC4" w14:textId="13141803"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0</w:t>
            </w:r>
          </w:p>
        </w:tc>
      </w:tr>
      <w:tr w:rsidR="00A65170" w:rsidRPr="00A65170" w14:paraId="503C2506" w14:textId="77777777" w:rsidTr="00A65170">
        <w:tc>
          <w:tcPr>
            <w:cnfStyle w:val="001000000000" w:firstRow="0" w:lastRow="0" w:firstColumn="1" w:lastColumn="0" w:oddVBand="0" w:evenVBand="0" w:oddHBand="0" w:evenHBand="0" w:firstRowFirstColumn="0" w:firstRowLastColumn="0" w:lastRowFirstColumn="0" w:lastRowLastColumn="0"/>
            <w:tcW w:w="645" w:type="pct"/>
          </w:tcPr>
          <w:p w14:paraId="14531FAA" w14:textId="1E6F0BB5" w:rsidR="00B30C6F" w:rsidRPr="00355CEC" w:rsidRDefault="00B30C6F" w:rsidP="00355CEC">
            <w:pPr>
              <w:pStyle w:val="MMultilevel"/>
              <w:numPr>
                <w:ilvl w:val="0"/>
                <w:numId w:val="0"/>
              </w:numPr>
              <w:jc w:val="center"/>
              <w:rPr>
                <w:rFonts w:ascii="Century Gothic" w:hAnsi="Century Gothic"/>
                <w:sz w:val="18"/>
                <w:szCs w:val="18"/>
                <w:lang w:val="en-GB"/>
              </w:rPr>
            </w:pPr>
            <w:r w:rsidRPr="00355CEC">
              <w:rPr>
                <w:rFonts w:ascii="Century Gothic" w:hAnsi="Century Gothic"/>
                <w:sz w:val="18"/>
                <w:szCs w:val="18"/>
                <w:lang w:val="en-GB"/>
              </w:rPr>
              <w:t>2013</w:t>
            </w:r>
          </w:p>
        </w:tc>
        <w:tc>
          <w:tcPr>
            <w:tcW w:w="475" w:type="pct"/>
          </w:tcPr>
          <w:p w14:paraId="53F28B35" w14:textId="5C239C5D"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0</w:t>
            </w:r>
          </w:p>
        </w:tc>
        <w:tc>
          <w:tcPr>
            <w:tcW w:w="684" w:type="pct"/>
          </w:tcPr>
          <w:p w14:paraId="1AD350EA" w14:textId="4BD9D25E"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1</w:t>
            </w:r>
          </w:p>
        </w:tc>
        <w:tc>
          <w:tcPr>
            <w:tcW w:w="717" w:type="pct"/>
          </w:tcPr>
          <w:p w14:paraId="37D3E09F" w14:textId="45A63678"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31</w:t>
            </w:r>
          </w:p>
        </w:tc>
        <w:tc>
          <w:tcPr>
            <w:tcW w:w="717" w:type="pct"/>
          </w:tcPr>
          <w:p w14:paraId="565D15C4" w14:textId="52AC97CC"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15</w:t>
            </w:r>
          </w:p>
        </w:tc>
        <w:tc>
          <w:tcPr>
            <w:tcW w:w="718" w:type="pct"/>
          </w:tcPr>
          <w:p w14:paraId="4C18F085" w14:textId="55D622F9"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1</w:t>
            </w:r>
          </w:p>
        </w:tc>
        <w:tc>
          <w:tcPr>
            <w:tcW w:w="569" w:type="pct"/>
          </w:tcPr>
          <w:p w14:paraId="73D002DE" w14:textId="1BE49A01"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2</w:t>
            </w:r>
          </w:p>
        </w:tc>
        <w:tc>
          <w:tcPr>
            <w:tcW w:w="475" w:type="pct"/>
          </w:tcPr>
          <w:p w14:paraId="0E0AF5B6" w14:textId="7F50D360"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0</w:t>
            </w:r>
          </w:p>
        </w:tc>
      </w:tr>
      <w:tr w:rsidR="00A65170" w:rsidRPr="00A65170" w14:paraId="67747305" w14:textId="77777777" w:rsidTr="00A6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5" w:type="pct"/>
          </w:tcPr>
          <w:p w14:paraId="5514B703" w14:textId="3C490710" w:rsidR="00B30C6F" w:rsidRPr="00355CEC" w:rsidRDefault="00B30C6F" w:rsidP="00355CEC">
            <w:pPr>
              <w:pStyle w:val="MMultilevel"/>
              <w:numPr>
                <w:ilvl w:val="0"/>
                <w:numId w:val="0"/>
              </w:numPr>
              <w:jc w:val="center"/>
              <w:rPr>
                <w:rFonts w:ascii="Century Gothic" w:hAnsi="Century Gothic"/>
                <w:sz w:val="18"/>
                <w:szCs w:val="18"/>
                <w:lang w:val="en-GB"/>
              </w:rPr>
            </w:pPr>
            <w:r w:rsidRPr="00355CEC">
              <w:rPr>
                <w:rFonts w:ascii="Century Gothic" w:hAnsi="Century Gothic"/>
                <w:sz w:val="18"/>
                <w:szCs w:val="18"/>
                <w:lang w:val="en-GB"/>
              </w:rPr>
              <w:t>2014</w:t>
            </w:r>
          </w:p>
        </w:tc>
        <w:tc>
          <w:tcPr>
            <w:tcW w:w="475" w:type="pct"/>
          </w:tcPr>
          <w:p w14:paraId="16BDC1DD" w14:textId="6738DF7D"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1</w:t>
            </w:r>
          </w:p>
        </w:tc>
        <w:tc>
          <w:tcPr>
            <w:tcW w:w="684" w:type="pct"/>
          </w:tcPr>
          <w:p w14:paraId="08C2F19D" w14:textId="18D22F07"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0</w:t>
            </w:r>
          </w:p>
        </w:tc>
        <w:tc>
          <w:tcPr>
            <w:tcW w:w="717" w:type="pct"/>
          </w:tcPr>
          <w:p w14:paraId="39BBBB99" w14:textId="120AD45C"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37</w:t>
            </w:r>
          </w:p>
        </w:tc>
        <w:tc>
          <w:tcPr>
            <w:tcW w:w="717" w:type="pct"/>
          </w:tcPr>
          <w:p w14:paraId="7218B2D2" w14:textId="026C2694"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4</w:t>
            </w:r>
          </w:p>
        </w:tc>
        <w:tc>
          <w:tcPr>
            <w:tcW w:w="718" w:type="pct"/>
          </w:tcPr>
          <w:p w14:paraId="3891251D" w14:textId="7E9C752A"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0</w:t>
            </w:r>
          </w:p>
        </w:tc>
        <w:tc>
          <w:tcPr>
            <w:tcW w:w="569" w:type="pct"/>
          </w:tcPr>
          <w:p w14:paraId="3349A912" w14:textId="1EEDD850"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9</w:t>
            </w:r>
          </w:p>
        </w:tc>
        <w:tc>
          <w:tcPr>
            <w:tcW w:w="475" w:type="pct"/>
          </w:tcPr>
          <w:p w14:paraId="2BE7E1B8" w14:textId="3B2DC116"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3</w:t>
            </w:r>
          </w:p>
        </w:tc>
      </w:tr>
      <w:tr w:rsidR="00A65170" w:rsidRPr="00A65170" w14:paraId="4DC68C21" w14:textId="77777777" w:rsidTr="00A65170">
        <w:tc>
          <w:tcPr>
            <w:cnfStyle w:val="001000000000" w:firstRow="0" w:lastRow="0" w:firstColumn="1" w:lastColumn="0" w:oddVBand="0" w:evenVBand="0" w:oddHBand="0" w:evenHBand="0" w:firstRowFirstColumn="0" w:firstRowLastColumn="0" w:lastRowFirstColumn="0" w:lastRowLastColumn="0"/>
            <w:tcW w:w="645" w:type="pct"/>
          </w:tcPr>
          <w:p w14:paraId="33EE401E" w14:textId="2469A61B" w:rsidR="00B30C6F" w:rsidRPr="00355CEC" w:rsidRDefault="00B30C6F" w:rsidP="00355CEC">
            <w:pPr>
              <w:pStyle w:val="MMultilevel"/>
              <w:numPr>
                <w:ilvl w:val="0"/>
                <w:numId w:val="0"/>
              </w:numPr>
              <w:jc w:val="center"/>
              <w:rPr>
                <w:rFonts w:ascii="Century Gothic" w:hAnsi="Century Gothic"/>
                <w:sz w:val="18"/>
                <w:szCs w:val="18"/>
                <w:lang w:val="en-GB"/>
              </w:rPr>
            </w:pPr>
            <w:r w:rsidRPr="00355CEC">
              <w:rPr>
                <w:rFonts w:ascii="Century Gothic" w:hAnsi="Century Gothic"/>
                <w:sz w:val="18"/>
                <w:szCs w:val="18"/>
                <w:lang w:val="en-GB"/>
              </w:rPr>
              <w:t>2015</w:t>
            </w:r>
          </w:p>
        </w:tc>
        <w:tc>
          <w:tcPr>
            <w:tcW w:w="475" w:type="pct"/>
          </w:tcPr>
          <w:p w14:paraId="561E91C5" w14:textId="50234F29"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3</w:t>
            </w:r>
          </w:p>
        </w:tc>
        <w:tc>
          <w:tcPr>
            <w:tcW w:w="684" w:type="pct"/>
          </w:tcPr>
          <w:p w14:paraId="6DCB13DC" w14:textId="6B2536A9"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0</w:t>
            </w:r>
          </w:p>
        </w:tc>
        <w:tc>
          <w:tcPr>
            <w:tcW w:w="717" w:type="pct"/>
          </w:tcPr>
          <w:p w14:paraId="22C5C6A0" w14:textId="57045DE5"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23</w:t>
            </w:r>
          </w:p>
        </w:tc>
        <w:tc>
          <w:tcPr>
            <w:tcW w:w="717" w:type="pct"/>
          </w:tcPr>
          <w:p w14:paraId="1861AA97" w14:textId="27BAEB61"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8</w:t>
            </w:r>
          </w:p>
        </w:tc>
        <w:tc>
          <w:tcPr>
            <w:tcW w:w="718" w:type="pct"/>
          </w:tcPr>
          <w:p w14:paraId="75DA1AC0" w14:textId="7EBD4CB4"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1</w:t>
            </w:r>
          </w:p>
        </w:tc>
        <w:tc>
          <w:tcPr>
            <w:tcW w:w="569" w:type="pct"/>
          </w:tcPr>
          <w:p w14:paraId="4B4124EC" w14:textId="0FBB13D7"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4</w:t>
            </w:r>
          </w:p>
        </w:tc>
        <w:tc>
          <w:tcPr>
            <w:tcW w:w="475" w:type="pct"/>
          </w:tcPr>
          <w:p w14:paraId="1D323E3D" w14:textId="41CB40EB"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6</w:t>
            </w:r>
          </w:p>
        </w:tc>
      </w:tr>
      <w:tr w:rsidR="00A65170" w:rsidRPr="00A65170" w14:paraId="18E67F5D" w14:textId="77777777" w:rsidTr="00A6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5" w:type="pct"/>
          </w:tcPr>
          <w:p w14:paraId="164CC962" w14:textId="58A52D00" w:rsidR="00B30C6F" w:rsidRPr="00355CEC" w:rsidRDefault="00B30C6F" w:rsidP="00355CEC">
            <w:pPr>
              <w:pStyle w:val="MMultilevel"/>
              <w:numPr>
                <w:ilvl w:val="0"/>
                <w:numId w:val="0"/>
              </w:numPr>
              <w:jc w:val="center"/>
              <w:rPr>
                <w:rFonts w:ascii="Century Gothic" w:hAnsi="Century Gothic"/>
                <w:sz w:val="18"/>
                <w:szCs w:val="18"/>
                <w:lang w:val="en-GB"/>
              </w:rPr>
            </w:pPr>
            <w:r w:rsidRPr="00355CEC">
              <w:rPr>
                <w:rFonts w:ascii="Century Gothic" w:hAnsi="Century Gothic"/>
                <w:sz w:val="18"/>
                <w:szCs w:val="18"/>
                <w:lang w:val="en-GB"/>
              </w:rPr>
              <w:t>2016</w:t>
            </w:r>
          </w:p>
        </w:tc>
        <w:tc>
          <w:tcPr>
            <w:tcW w:w="475" w:type="pct"/>
          </w:tcPr>
          <w:p w14:paraId="1AD6672E" w14:textId="1AD5FD3C"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5</w:t>
            </w:r>
          </w:p>
        </w:tc>
        <w:tc>
          <w:tcPr>
            <w:tcW w:w="684" w:type="pct"/>
          </w:tcPr>
          <w:p w14:paraId="2E411A7E" w14:textId="339C5E28"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0</w:t>
            </w:r>
          </w:p>
        </w:tc>
        <w:tc>
          <w:tcPr>
            <w:tcW w:w="717" w:type="pct"/>
          </w:tcPr>
          <w:p w14:paraId="12A211E4" w14:textId="2DF518D7"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58</w:t>
            </w:r>
          </w:p>
        </w:tc>
        <w:tc>
          <w:tcPr>
            <w:tcW w:w="717" w:type="pct"/>
          </w:tcPr>
          <w:p w14:paraId="6E95218E" w14:textId="557610B8"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4</w:t>
            </w:r>
          </w:p>
        </w:tc>
        <w:tc>
          <w:tcPr>
            <w:tcW w:w="718" w:type="pct"/>
          </w:tcPr>
          <w:p w14:paraId="6A353A99" w14:textId="096AE497"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0</w:t>
            </w:r>
          </w:p>
        </w:tc>
        <w:tc>
          <w:tcPr>
            <w:tcW w:w="569" w:type="pct"/>
          </w:tcPr>
          <w:p w14:paraId="1715DCB9" w14:textId="7FDB85CD"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4</w:t>
            </w:r>
          </w:p>
        </w:tc>
        <w:tc>
          <w:tcPr>
            <w:tcW w:w="475" w:type="pct"/>
          </w:tcPr>
          <w:p w14:paraId="3CC15037" w14:textId="0FF20274"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3</w:t>
            </w:r>
          </w:p>
        </w:tc>
      </w:tr>
      <w:tr w:rsidR="00A65170" w:rsidRPr="00A65170" w14:paraId="560520B1" w14:textId="77777777" w:rsidTr="00A65170">
        <w:trPr>
          <w:trHeight w:val="63"/>
        </w:trPr>
        <w:tc>
          <w:tcPr>
            <w:cnfStyle w:val="001000000000" w:firstRow="0" w:lastRow="0" w:firstColumn="1" w:lastColumn="0" w:oddVBand="0" w:evenVBand="0" w:oddHBand="0" w:evenHBand="0" w:firstRowFirstColumn="0" w:firstRowLastColumn="0" w:lastRowFirstColumn="0" w:lastRowLastColumn="0"/>
            <w:tcW w:w="645" w:type="pct"/>
          </w:tcPr>
          <w:p w14:paraId="6ACA481A" w14:textId="5596A333" w:rsidR="00B30C6F" w:rsidRPr="00355CEC" w:rsidRDefault="00B30C6F" w:rsidP="00355CEC">
            <w:pPr>
              <w:pStyle w:val="MMultilevel"/>
              <w:numPr>
                <w:ilvl w:val="0"/>
                <w:numId w:val="0"/>
              </w:numPr>
              <w:jc w:val="center"/>
              <w:rPr>
                <w:rFonts w:ascii="Century Gothic" w:hAnsi="Century Gothic"/>
                <w:sz w:val="18"/>
                <w:szCs w:val="18"/>
                <w:lang w:val="en-GB"/>
              </w:rPr>
            </w:pPr>
            <w:r w:rsidRPr="00355CEC">
              <w:rPr>
                <w:rFonts w:ascii="Century Gothic" w:hAnsi="Century Gothic"/>
                <w:sz w:val="18"/>
                <w:szCs w:val="18"/>
                <w:lang w:val="en-GB"/>
              </w:rPr>
              <w:t>2017</w:t>
            </w:r>
          </w:p>
        </w:tc>
        <w:tc>
          <w:tcPr>
            <w:tcW w:w="475" w:type="pct"/>
          </w:tcPr>
          <w:p w14:paraId="6D3D0DDF" w14:textId="403E37F3"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11</w:t>
            </w:r>
          </w:p>
        </w:tc>
        <w:tc>
          <w:tcPr>
            <w:tcW w:w="684" w:type="pct"/>
          </w:tcPr>
          <w:p w14:paraId="5A4A0ABD" w14:textId="4C848853"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1</w:t>
            </w:r>
          </w:p>
        </w:tc>
        <w:tc>
          <w:tcPr>
            <w:tcW w:w="717" w:type="pct"/>
          </w:tcPr>
          <w:p w14:paraId="658ACFB2" w14:textId="7F869B28"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55</w:t>
            </w:r>
          </w:p>
        </w:tc>
        <w:tc>
          <w:tcPr>
            <w:tcW w:w="717" w:type="pct"/>
          </w:tcPr>
          <w:p w14:paraId="194ED41B" w14:textId="0695B91B"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1</w:t>
            </w:r>
          </w:p>
        </w:tc>
        <w:tc>
          <w:tcPr>
            <w:tcW w:w="718" w:type="pct"/>
          </w:tcPr>
          <w:p w14:paraId="002BCDA1" w14:textId="25F4930E"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0</w:t>
            </w:r>
          </w:p>
        </w:tc>
        <w:tc>
          <w:tcPr>
            <w:tcW w:w="569" w:type="pct"/>
          </w:tcPr>
          <w:p w14:paraId="2B7C4759" w14:textId="1920530A"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13</w:t>
            </w:r>
          </w:p>
        </w:tc>
        <w:tc>
          <w:tcPr>
            <w:tcW w:w="475" w:type="pct"/>
          </w:tcPr>
          <w:p w14:paraId="59C9DB1A" w14:textId="265B8F85"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lang w:val="en-GB"/>
              </w:rPr>
            </w:pPr>
            <w:r w:rsidRPr="00355CEC">
              <w:rPr>
                <w:rFonts w:ascii="Century Gothic" w:hAnsi="Century Gothic"/>
                <w:sz w:val="18"/>
                <w:szCs w:val="18"/>
                <w:lang w:val="en-GB"/>
              </w:rPr>
              <w:t>7</w:t>
            </w:r>
          </w:p>
        </w:tc>
      </w:tr>
      <w:tr w:rsidR="00A65170" w:rsidRPr="00A65170" w14:paraId="43A83EC9" w14:textId="77777777" w:rsidTr="00A65170">
        <w:trPr>
          <w:cnfStyle w:val="000000100000" w:firstRow="0" w:lastRow="0" w:firstColumn="0" w:lastColumn="0" w:oddVBand="0" w:evenVBand="0" w:oddHBand="1" w:evenHBand="0" w:firstRowFirstColumn="0" w:firstRowLastColumn="0" w:lastRowFirstColumn="0" w:lastRowLastColumn="0"/>
          <w:trHeight w:val="791"/>
        </w:trPr>
        <w:tc>
          <w:tcPr>
            <w:cnfStyle w:val="001000000000" w:firstRow="0" w:lastRow="0" w:firstColumn="1" w:lastColumn="0" w:oddVBand="0" w:evenVBand="0" w:oddHBand="0" w:evenHBand="0" w:firstRowFirstColumn="0" w:firstRowLastColumn="0" w:lastRowFirstColumn="0" w:lastRowLastColumn="0"/>
            <w:tcW w:w="645" w:type="pct"/>
          </w:tcPr>
          <w:p w14:paraId="7F83C482" w14:textId="77777777" w:rsidR="002843F4" w:rsidRPr="00355CEC" w:rsidRDefault="002843F4" w:rsidP="002843F4">
            <w:pPr>
              <w:pStyle w:val="MMultilevel"/>
              <w:numPr>
                <w:ilvl w:val="0"/>
                <w:numId w:val="0"/>
              </w:numPr>
              <w:jc w:val="center"/>
              <w:rPr>
                <w:rFonts w:ascii="Century Gothic" w:hAnsi="Century Gothic"/>
                <w:b w:val="0"/>
                <w:bCs/>
                <w:sz w:val="18"/>
                <w:szCs w:val="18"/>
                <w:lang w:val="en-GB"/>
              </w:rPr>
            </w:pPr>
          </w:p>
          <w:p w14:paraId="6169B047" w14:textId="0FDEF8FB" w:rsidR="00B30C6F" w:rsidRPr="00355CEC" w:rsidRDefault="00B30C6F" w:rsidP="002843F4">
            <w:pPr>
              <w:pStyle w:val="MMultilevel"/>
              <w:numPr>
                <w:ilvl w:val="0"/>
                <w:numId w:val="0"/>
              </w:numPr>
              <w:rPr>
                <w:rFonts w:ascii="Century Gothic" w:hAnsi="Century Gothic"/>
                <w:sz w:val="18"/>
                <w:szCs w:val="18"/>
                <w:lang w:val="en-GB"/>
              </w:rPr>
            </w:pPr>
            <w:r w:rsidRPr="00355CEC">
              <w:rPr>
                <w:rFonts w:ascii="Century Gothic" w:hAnsi="Century Gothic"/>
                <w:sz w:val="18"/>
                <w:szCs w:val="18"/>
                <w:lang w:val="en-GB"/>
              </w:rPr>
              <w:t>TOTAL</w:t>
            </w:r>
          </w:p>
        </w:tc>
        <w:tc>
          <w:tcPr>
            <w:tcW w:w="475" w:type="pct"/>
          </w:tcPr>
          <w:p w14:paraId="3426F972" w14:textId="77777777" w:rsidR="002843F4" w:rsidRPr="00355CEC" w:rsidRDefault="002843F4" w:rsidP="002843F4">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p>
          <w:p w14:paraId="2E9C895B" w14:textId="4E0BC23A"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20</w:t>
            </w:r>
          </w:p>
        </w:tc>
        <w:tc>
          <w:tcPr>
            <w:tcW w:w="684" w:type="pct"/>
          </w:tcPr>
          <w:p w14:paraId="3D829B09" w14:textId="77777777" w:rsidR="002843F4" w:rsidRPr="00355CEC" w:rsidRDefault="002843F4" w:rsidP="002843F4">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p>
          <w:p w14:paraId="464E41AC" w14:textId="566A0D07"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2</w:t>
            </w:r>
          </w:p>
        </w:tc>
        <w:tc>
          <w:tcPr>
            <w:tcW w:w="717" w:type="pct"/>
          </w:tcPr>
          <w:p w14:paraId="7D110E02" w14:textId="77777777" w:rsidR="002843F4" w:rsidRPr="00355CEC" w:rsidRDefault="002843F4" w:rsidP="002843F4">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p>
          <w:p w14:paraId="433A469D" w14:textId="5F167EF3"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222</w:t>
            </w:r>
          </w:p>
        </w:tc>
        <w:tc>
          <w:tcPr>
            <w:tcW w:w="717" w:type="pct"/>
          </w:tcPr>
          <w:p w14:paraId="7B969DB1" w14:textId="77777777" w:rsidR="002843F4" w:rsidRPr="00355CEC" w:rsidRDefault="002843F4" w:rsidP="002843F4">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p>
          <w:p w14:paraId="2DB3DACA" w14:textId="6C8D161F"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63</w:t>
            </w:r>
          </w:p>
        </w:tc>
        <w:tc>
          <w:tcPr>
            <w:tcW w:w="718" w:type="pct"/>
          </w:tcPr>
          <w:p w14:paraId="48A3DF2F" w14:textId="77777777" w:rsidR="002843F4" w:rsidRPr="00355CEC" w:rsidRDefault="002843F4" w:rsidP="002843F4">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p>
          <w:p w14:paraId="67DD447B" w14:textId="0E32A9AC"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3</w:t>
            </w:r>
          </w:p>
        </w:tc>
        <w:tc>
          <w:tcPr>
            <w:tcW w:w="569" w:type="pct"/>
          </w:tcPr>
          <w:p w14:paraId="14E12D07" w14:textId="77777777" w:rsidR="002843F4" w:rsidRPr="00355CEC" w:rsidRDefault="002843F4" w:rsidP="002843F4">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p>
          <w:p w14:paraId="2E991F5E" w14:textId="4C813BD5"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34</w:t>
            </w:r>
          </w:p>
        </w:tc>
        <w:tc>
          <w:tcPr>
            <w:tcW w:w="475" w:type="pct"/>
          </w:tcPr>
          <w:p w14:paraId="72C38DC4" w14:textId="77777777" w:rsidR="002843F4" w:rsidRPr="00355CEC" w:rsidRDefault="002843F4" w:rsidP="002843F4">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p>
          <w:p w14:paraId="43551637" w14:textId="1024E721" w:rsidR="00B30C6F" w:rsidRPr="00355CEC" w:rsidRDefault="00B30C6F" w:rsidP="00355CEC">
            <w:pPr>
              <w:pStyle w:val="MMultilevel"/>
              <w:numPr>
                <w:ilvl w:val="0"/>
                <w:numId w:val="0"/>
              </w:numPr>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19</w:t>
            </w:r>
          </w:p>
        </w:tc>
      </w:tr>
      <w:tr w:rsidR="00A65170" w:rsidRPr="00A65170" w14:paraId="3FD11CDF" w14:textId="77777777" w:rsidTr="00A65170">
        <w:trPr>
          <w:trHeight w:val="759"/>
        </w:trPr>
        <w:tc>
          <w:tcPr>
            <w:cnfStyle w:val="001000000000" w:firstRow="0" w:lastRow="0" w:firstColumn="1" w:lastColumn="0" w:oddVBand="0" w:evenVBand="0" w:oddHBand="0" w:evenHBand="0" w:firstRowFirstColumn="0" w:firstRowLastColumn="0" w:lastRowFirstColumn="0" w:lastRowLastColumn="0"/>
            <w:tcW w:w="645" w:type="pct"/>
          </w:tcPr>
          <w:p w14:paraId="5455746A" w14:textId="31E2E2A9" w:rsidR="00B30C6F" w:rsidRPr="00355CEC" w:rsidRDefault="00B30C6F" w:rsidP="00355CEC">
            <w:pPr>
              <w:pStyle w:val="MMultilevel"/>
              <w:ind w:left="0"/>
              <w:jc w:val="center"/>
              <w:rPr>
                <w:rFonts w:ascii="Century Gothic" w:hAnsi="Century Gothic"/>
                <w:sz w:val="18"/>
                <w:szCs w:val="18"/>
                <w:lang w:val="en-GB"/>
              </w:rPr>
            </w:pPr>
            <w:r w:rsidRPr="00355CEC">
              <w:rPr>
                <w:rFonts w:ascii="Century Gothic" w:hAnsi="Century Gothic"/>
                <w:sz w:val="18"/>
                <w:szCs w:val="18"/>
                <w:lang w:val="en-GB"/>
              </w:rPr>
              <w:t xml:space="preserve">Total </w:t>
            </w:r>
            <w:r w:rsidR="00A65170" w:rsidRPr="00355CEC">
              <w:rPr>
                <w:rFonts w:ascii="Century Gothic" w:hAnsi="Century Gothic"/>
                <w:sz w:val="18"/>
                <w:szCs w:val="18"/>
                <w:lang w:val="en-GB"/>
              </w:rPr>
              <w:t>in</w:t>
            </w:r>
            <w:r w:rsidR="00A65170">
              <w:rPr>
                <w:rFonts w:ascii="Century Gothic" w:hAnsi="Century Gothic"/>
                <w:sz w:val="18"/>
                <w:szCs w:val="18"/>
                <w:lang w:val="en-GB"/>
              </w:rPr>
              <w:t>come</w:t>
            </w:r>
          </w:p>
        </w:tc>
        <w:tc>
          <w:tcPr>
            <w:tcW w:w="475" w:type="pct"/>
          </w:tcPr>
          <w:p w14:paraId="6D5FDE8C" w14:textId="6D4490B1"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EUR 6 million</w:t>
            </w:r>
          </w:p>
        </w:tc>
        <w:tc>
          <w:tcPr>
            <w:tcW w:w="684" w:type="pct"/>
          </w:tcPr>
          <w:p w14:paraId="11E98B1C" w14:textId="6CC56227"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EUR 250 000</w:t>
            </w:r>
          </w:p>
        </w:tc>
        <w:tc>
          <w:tcPr>
            <w:tcW w:w="717" w:type="pct"/>
          </w:tcPr>
          <w:p w14:paraId="478A7A87" w14:textId="50C70A1F"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EUR 111 million</w:t>
            </w:r>
          </w:p>
        </w:tc>
        <w:tc>
          <w:tcPr>
            <w:tcW w:w="717" w:type="pct"/>
          </w:tcPr>
          <w:p w14:paraId="268B6037" w14:textId="7CDEFD41"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EUR 31,5 million</w:t>
            </w:r>
          </w:p>
        </w:tc>
        <w:tc>
          <w:tcPr>
            <w:tcW w:w="718" w:type="pct"/>
          </w:tcPr>
          <w:p w14:paraId="4BF6E948" w14:textId="34C02E67"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EUR 9 million</w:t>
            </w:r>
          </w:p>
        </w:tc>
        <w:tc>
          <w:tcPr>
            <w:tcW w:w="569" w:type="pct"/>
          </w:tcPr>
          <w:p w14:paraId="5A605E0D" w14:textId="1657B04E"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*no minimum amount</w:t>
            </w:r>
          </w:p>
        </w:tc>
        <w:tc>
          <w:tcPr>
            <w:tcW w:w="475" w:type="pct"/>
          </w:tcPr>
          <w:p w14:paraId="3E04EBF8" w14:textId="357845D1" w:rsidR="00B30C6F" w:rsidRPr="00355CEC" w:rsidRDefault="00B30C6F" w:rsidP="00355CEC">
            <w:pPr>
              <w:pStyle w:val="MMultilevel"/>
              <w:numPr>
                <w:ilvl w:val="0"/>
                <w:numId w:val="0"/>
              </w:numPr>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18"/>
                <w:szCs w:val="18"/>
                <w:lang w:val="en-GB"/>
              </w:rPr>
            </w:pPr>
            <w:r w:rsidRPr="00355CEC">
              <w:rPr>
                <w:rFonts w:ascii="Century Gothic" w:hAnsi="Century Gothic"/>
                <w:b/>
                <w:sz w:val="18"/>
                <w:szCs w:val="18"/>
                <w:lang w:val="en-GB"/>
              </w:rPr>
              <w:t>EUR 4,75 million</w:t>
            </w:r>
          </w:p>
        </w:tc>
      </w:tr>
    </w:tbl>
    <w:p w14:paraId="01E6A835" w14:textId="1E894288" w:rsidR="00CD68E8" w:rsidRDefault="00CD68E8" w:rsidP="00337204">
      <w:pPr>
        <w:pStyle w:val="MMultilevel"/>
        <w:numPr>
          <w:ilvl w:val="0"/>
          <w:numId w:val="0"/>
        </w:numPr>
        <w:rPr>
          <w:lang w:val="en-GB"/>
        </w:rPr>
      </w:pPr>
    </w:p>
    <w:p w14:paraId="21141FC4" w14:textId="7F275216" w:rsidR="00CD68E8" w:rsidRDefault="008221C6" w:rsidP="00337204">
      <w:pPr>
        <w:pStyle w:val="MMultilevel"/>
        <w:numPr>
          <w:ilvl w:val="0"/>
          <w:numId w:val="0"/>
        </w:numPr>
        <w:rPr>
          <w:lang w:val="en-GB"/>
        </w:rPr>
      </w:pPr>
      <w:r>
        <w:rPr>
          <w:lang w:val="en-GB"/>
        </w:rPr>
        <w:t>Taking into consideration the</w:t>
      </w:r>
      <w:r w:rsidR="00CD68E8">
        <w:rPr>
          <w:lang w:val="en-GB"/>
        </w:rPr>
        <w:t xml:space="preserve"> 12 successful applications for citizenship under Article 14a</w:t>
      </w:r>
      <w:r>
        <w:rPr>
          <w:lang w:val="en-GB"/>
        </w:rPr>
        <w:t xml:space="preserve"> (fast-track)</w:t>
      </w:r>
      <w:r w:rsidR="009F4356">
        <w:rPr>
          <w:lang w:val="en-GB"/>
        </w:rPr>
        <w:t xml:space="preserve"> in 2017</w:t>
      </w:r>
      <w:r>
        <w:rPr>
          <w:lang w:val="en-GB"/>
        </w:rPr>
        <w:t xml:space="preserve"> and</w:t>
      </w:r>
      <w:r w:rsidR="00CD68E8">
        <w:rPr>
          <w:lang w:val="en-GB"/>
        </w:rPr>
        <w:t xml:space="preserve"> the concrete </w:t>
      </w:r>
      <w:r w:rsidR="009F4356">
        <w:rPr>
          <w:lang w:val="en-GB"/>
        </w:rPr>
        <w:t>thresholds</w:t>
      </w:r>
      <w:r w:rsidR="00CD68E8">
        <w:rPr>
          <w:lang w:val="en-GB"/>
        </w:rPr>
        <w:t xml:space="preserve"> in the law</w:t>
      </w:r>
      <w:r w:rsidR="00075397">
        <w:rPr>
          <w:lang w:val="en-GB"/>
        </w:rPr>
        <w:t xml:space="preserve">, </w:t>
      </w:r>
      <w:r w:rsidR="00CD68E8">
        <w:rPr>
          <w:lang w:val="en-GB"/>
        </w:rPr>
        <w:t xml:space="preserve">a minimum of </w:t>
      </w:r>
      <w:r w:rsidR="009F4356">
        <w:rPr>
          <w:lang w:val="en-GB"/>
        </w:rPr>
        <w:t>EUR 12</w:t>
      </w:r>
      <w:r w:rsidR="00075397">
        <w:rPr>
          <w:lang w:val="en-GB"/>
        </w:rPr>
        <w:t xml:space="preserve"> million would have been </w:t>
      </w:r>
      <w:r w:rsidR="009F4356">
        <w:rPr>
          <w:lang w:val="en-GB"/>
        </w:rPr>
        <w:t xml:space="preserve">invested under the citizenship </w:t>
      </w:r>
      <w:r>
        <w:rPr>
          <w:lang w:val="en-GB"/>
        </w:rPr>
        <w:t xml:space="preserve">fast-track </w:t>
      </w:r>
      <w:r w:rsidR="009F4356">
        <w:rPr>
          <w:lang w:val="en-GB"/>
        </w:rPr>
        <w:t xml:space="preserve">schemes in that year. </w:t>
      </w:r>
    </w:p>
    <w:p w14:paraId="0196A3BE" w14:textId="77777777" w:rsidR="00CD68E8" w:rsidRDefault="00CD68E8" w:rsidP="00337204">
      <w:pPr>
        <w:pStyle w:val="MMultilevel"/>
        <w:numPr>
          <w:ilvl w:val="0"/>
          <w:numId w:val="0"/>
        </w:numPr>
        <w:rPr>
          <w:lang w:val="en-GB"/>
        </w:rPr>
      </w:pPr>
    </w:p>
    <w:p w14:paraId="642692DD" w14:textId="053AF91A" w:rsidR="004C00F6" w:rsidRDefault="009F4356" w:rsidP="00337204">
      <w:pPr>
        <w:spacing w:after="0" w:line="240" w:lineRule="auto"/>
        <w:jc w:val="both"/>
        <w:rPr>
          <w:lang w:eastAsia="en-GB"/>
        </w:rPr>
      </w:pPr>
      <w:r>
        <w:rPr>
          <w:sz w:val="22"/>
          <w:szCs w:val="22"/>
        </w:rPr>
        <w:t xml:space="preserve">In general, the investors’ residence and citizenship schemes have been </w:t>
      </w:r>
      <w:r w:rsidR="001706E0">
        <w:rPr>
          <w:sz w:val="22"/>
          <w:szCs w:val="22"/>
        </w:rPr>
        <w:t xml:space="preserve">criticised </w:t>
      </w:r>
      <w:r>
        <w:rPr>
          <w:sz w:val="22"/>
          <w:szCs w:val="22"/>
        </w:rPr>
        <w:t xml:space="preserve">for being </w:t>
      </w:r>
      <w:r>
        <w:rPr>
          <w:b/>
          <w:sz w:val="22"/>
          <w:szCs w:val="22"/>
        </w:rPr>
        <w:t xml:space="preserve">slow </w:t>
      </w:r>
      <w:r>
        <w:rPr>
          <w:sz w:val="22"/>
          <w:szCs w:val="22"/>
        </w:rPr>
        <w:t xml:space="preserve">and with a lot of </w:t>
      </w:r>
      <w:r>
        <w:rPr>
          <w:b/>
          <w:sz w:val="22"/>
          <w:szCs w:val="22"/>
        </w:rPr>
        <w:t>administrative burden</w:t>
      </w:r>
      <w:r>
        <w:rPr>
          <w:sz w:val="22"/>
          <w:szCs w:val="22"/>
        </w:rPr>
        <w:t xml:space="preserve">, and </w:t>
      </w:r>
      <w:r w:rsidRPr="009F4356">
        <w:rPr>
          <w:sz w:val="22"/>
          <w:szCs w:val="22"/>
        </w:rPr>
        <w:t>Bulgarian authorities are working towards making the</w:t>
      </w:r>
      <w:r>
        <w:rPr>
          <w:sz w:val="22"/>
          <w:szCs w:val="22"/>
        </w:rPr>
        <w:t>m</w:t>
      </w:r>
      <w:r w:rsidRPr="009F4356">
        <w:rPr>
          <w:sz w:val="22"/>
          <w:szCs w:val="22"/>
        </w:rPr>
        <w:t xml:space="preserve"> more efficient</w:t>
      </w:r>
      <w:r>
        <w:rPr>
          <w:sz w:val="22"/>
          <w:szCs w:val="22"/>
        </w:rPr>
        <w:t xml:space="preserve"> - recently </w:t>
      </w:r>
      <w:r>
        <w:rPr>
          <w:b/>
          <w:sz w:val="22"/>
          <w:szCs w:val="22"/>
        </w:rPr>
        <w:t>amendments to</w:t>
      </w:r>
      <w:r>
        <w:rPr>
          <w:sz w:val="22"/>
          <w:szCs w:val="22"/>
        </w:rPr>
        <w:t xml:space="preserve"> the BCA Implementation Ordinance have been adopted, and they will enter into effect as of </w:t>
      </w:r>
      <w:r>
        <w:rPr>
          <w:b/>
          <w:sz w:val="22"/>
          <w:szCs w:val="22"/>
        </w:rPr>
        <w:t>1 July 2018</w:t>
      </w:r>
      <w:r>
        <w:rPr>
          <w:sz w:val="22"/>
          <w:szCs w:val="22"/>
        </w:rPr>
        <w:t xml:space="preserve">. The amendments to the Ordinance aim at relieving the administrative burden by </w:t>
      </w:r>
      <w:r>
        <w:rPr>
          <w:b/>
          <w:sz w:val="22"/>
          <w:szCs w:val="22"/>
        </w:rPr>
        <w:t>reducing the required documents</w:t>
      </w:r>
      <w:r>
        <w:rPr>
          <w:sz w:val="22"/>
          <w:szCs w:val="22"/>
        </w:rPr>
        <w:t xml:space="preserve"> from the applicants in the schemes and introducing the official collection of documents and </w:t>
      </w:r>
      <w:r>
        <w:rPr>
          <w:b/>
          <w:sz w:val="22"/>
          <w:szCs w:val="22"/>
        </w:rPr>
        <w:t>optimizing the timing</w:t>
      </w:r>
      <w:r>
        <w:rPr>
          <w:sz w:val="22"/>
          <w:szCs w:val="22"/>
        </w:rPr>
        <w:t>.</w:t>
      </w:r>
      <w:r>
        <w:rPr>
          <w:rStyle w:val="FootnoteReference"/>
          <w:sz w:val="22"/>
          <w:szCs w:val="22"/>
        </w:rPr>
        <w:footnoteReference w:id="23"/>
      </w:r>
      <w:r>
        <w:rPr>
          <w:sz w:val="22"/>
          <w:szCs w:val="22"/>
        </w:rPr>
        <w:t xml:space="preserve"> </w:t>
      </w:r>
    </w:p>
    <w:sectPr w:rsidR="004C00F6" w:rsidSect="00FB3518">
      <w:footerReference w:type="default" r:id="rId8"/>
      <w:pgSz w:w="11906" w:h="16838"/>
      <w:pgMar w:top="1440" w:right="1440" w:bottom="1440" w:left="1440" w:header="708" w:footer="708" w:gutter="0"/>
      <w:pgNumType w:fmt="lowerRoman"/>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695DC0" w16cid:durableId="1F041C54"/>
  <w16cid:commentId w16cid:paraId="26E394DA" w16cid:durableId="1F041C55"/>
  <w16cid:commentId w16cid:paraId="0FAE222D" w16cid:durableId="1F041C56"/>
  <w16cid:commentId w16cid:paraId="0FB25ABD" w16cid:durableId="1F041C57"/>
  <w16cid:commentId w16cid:paraId="112F0B40" w16cid:durableId="1F041C59"/>
  <w16cid:commentId w16cid:paraId="34DE23A1" w16cid:durableId="1F041D69"/>
  <w16cid:commentId w16cid:paraId="612B000C" w16cid:durableId="1F041C5A"/>
  <w16cid:commentId w16cid:paraId="57AAC8A9" w16cid:durableId="1F041C5B"/>
  <w16cid:commentId w16cid:paraId="2EEE4071" w16cid:durableId="1F041C5C"/>
  <w16cid:commentId w16cid:paraId="4EAEFA98" w16cid:durableId="1F0420D9"/>
  <w16cid:commentId w16cid:paraId="6C5B6A94" w16cid:durableId="1F041C5D"/>
  <w16cid:commentId w16cid:paraId="55A36D89" w16cid:durableId="1F04218C"/>
  <w16cid:commentId w16cid:paraId="748F61D3" w16cid:durableId="1F041C5E"/>
  <w16cid:commentId w16cid:paraId="38587AB5" w16cid:durableId="1F043008"/>
  <w16cid:commentId w16cid:paraId="6AE5077C" w16cid:durableId="1F0423A1"/>
  <w16cid:commentId w16cid:paraId="21A23272" w16cid:durableId="1F042323"/>
  <w16cid:commentId w16cid:paraId="0B9C057B" w16cid:durableId="1F0425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F1BFF" w14:textId="77777777" w:rsidR="00202E5C" w:rsidRDefault="00202E5C" w:rsidP="003855DE">
      <w:pPr>
        <w:spacing w:after="0" w:line="240" w:lineRule="auto"/>
      </w:pPr>
      <w:r>
        <w:separator/>
      </w:r>
    </w:p>
  </w:endnote>
  <w:endnote w:type="continuationSeparator" w:id="0">
    <w:p w14:paraId="618BF8C7" w14:textId="77777777" w:rsidR="00202E5C" w:rsidRDefault="00202E5C" w:rsidP="00385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altName w:val="Calibr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DC5B" w14:textId="77777777" w:rsidR="00B6730B" w:rsidRDefault="00B6730B"/>
  <w:tbl>
    <w:tblPr>
      <w:tblW w:w="5084" w:type="pct"/>
      <w:tblBorders>
        <w:top w:val="single" w:sz="4" w:space="0" w:color="auto"/>
      </w:tblBorders>
      <w:tblLook w:val="01E0" w:firstRow="1" w:lastRow="1" w:firstColumn="1" w:lastColumn="1" w:noHBand="0" w:noVBand="0"/>
    </w:tblPr>
    <w:tblGrid>
      <w:gridCol w:w="2320"/>
      <w:gridCol w:w="6858"/>
    </w:tblGrid>
    <w:tr w:rsidR="00FB3518" w:rsidRPr="007D178C" w14:paraId="4FFAC8D9" w14:textId="77777777" w:rsidTr="00FE01BA">
      <w:tc>
        <w:tcPr>
          <w:tcW w:w="1264" w:type="pct"/>
        </w:tcPr>
        <w:p w14:paraId="5B982B4D" w14:textId="77777777" w:rsidR="00FB3518" w:rsidRPr="007D178C" w:rsidRDefault="00FB3518" w:rsidP="00FB3518">
          <w:pPr>
            <w:tabs>
              <w:tab w:val="left" w:pos="1212"/>
            </w:tabs>
            <w:ind w:right="360"/>
            <w:rPr>
              <w:i/>
            </w:rPr>
          </w:pPr>
          <w:r w:rsidRPr="007D178C">
            <w:rPr>
              <w:i/>
            </w:rPr>
            <w:t xml:space="preserve">Milieu Ltd </w:t>
          </w:r>
        </w:p>
        <w:p w14:paraId="77C20BF3" w14:textId="77777777" w:rsidR="00FB3518" w:rsidRPr="007D178C" w:rsidRDefault="00FB3518" w:rsidP="00FB3518">
          <w:pPr>
            <w:tabs>
              <w:tab w:val="center" w:pos="4153"/>
              <w:tab w:val="right" w:pos="8306"/>
            </w:tabs>
            <w:ind w:right="360"/>
            <w:rPr>
              <w:i/>
            </w:rPr>
          </w:pPr>
        </w:p>
      </w:tc>
      <w:tc>
        <w:tcPr>
          <w:tcW w:w="3736" w:type="pct"/>
        </w:tcPr>
        <w:p w14:paraId="6A516774" w14:textId="7045DE9E" w:rsidR="00FB3518" w:rsidRPr="007D178C" w:rsidRDefault="00FB3518" w:rsidP="00FB3518">
          <w:pPr>
            <w:tabs>
              <w:tab w:val="center" w:pos="4153"/>
              <w:tab w:val="right" w:pos="8306"/>
            </w:tabs>
            <w:ind w:right="19"/>
            <w:jc w:val="right"/>
            <w:rPr>
              <w:i/>
            </w:rPr>
          </w:pPr>
          <w:r>
            <w:rPr>
              <w:i/>
            </w:rPr>
            <w:t>Executive Summary</w:t>
          </w:r>
          <w:r w:rsidRPr="007D178C">
            <w:rPr>
              <w:i/>
            </w:rPr>
            <w:t xml:space="preserve"> – Investors’ Schemes in </w:t>
          </w:r>
          <w:r>
            <w:rPr>
              <w:i/>
            </w:rPr>
            <w:t>Bulgaria</w:t>
          </w:r>
          <w:r w:rsidRPr="007D178C">
            <w:rPr>
              <w:i/>
            </w:rPr>
            <w:t>/</w:t>
          </w:r>
          <w:r w:rsidRPr="00992E5B">
            <w:rPr>
              <w:i/>
            </w:rPr>
            <w:fldChar w:fldCharType="begin"/>
          </w:r>
          <w:r w:rsidRPr="00992E5B">
            <w:rPr>
              <w:i/>
            </w:rPr>
            <w:instrText xml:space="preserve"> PAGE   \* MERGEFORMAT </w:instrText>
          </w:r>
          <w:r w:rsidRPr="00992E5B">
            <w:rPr>
              <w:i/>
            </w:rPr>
            <w:fldChar w:fldCharType="separate"/>
          </w:r>
          <w:r w:rsidR="00190E8E">
            <w:rPr>
              <w:i/>
              <w:noProof/>
            </w:rPr>
            <w:t>vii</w:t>
          </w:r>
          <w:r w:rsidRPr="00992E5B">
            <w:rPr>
              <w:i/>
              <w:noProof/>
            </w:rPr>
            <w:fldChar w:fldCharType="end"/>
          </w:r>
        </w:p>
      </w:tc>
    </w:tr>
  </w:tbl>
  <w:p w14:paraId="6F0B4719" w14:textId="77777777" w:rsidR="00FB3518" w:rsidRDefault="00FB35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24D53" w14:textId="77777777" w:rsidR="00202E5C" w:rsidRDefault="00202E5C" w:rsidP="003855DE">
      <w:pPr>
        <w:spacing w:after="0" w:line="240" w:lineRule="auto"/>
      </w:pPr>
      <w:r>
        <w:separator/>
      </w:r>
    </w:p>
  </w:footnote>
  <w:footnote w:type="continuationSeparator" w:id="0">
    <w:p w14:paraId="157D9990" w14:textId="77777777" w:rsidR="00202E5C" w:rsidRDefault="00202E5C" w:rsidP="003855DE">
      <w:pPr>
        <w:spacing w:after="0" w:line="240" w:lineRule="auto"/>
      </w:pPr>
      <w:r>
        <w:continuationSeparator/>
      </w:r>
    </w:p>
  </w:footnote>
  <w:footnote w:id="1">
    <w:p w14:paraId="40A285A9" w14:textId="77777777" w:rsidR="00B30C6F" w:rsidRPr="00B6730B" w:rsidRDefault="00B30C6F" w:rsidP="00355CEC">
      <w:pPr>
        <w:pStyle w:val="FootnoteText"/>
        <w:rPr>
          <w:szCs w:val="18"/>
        </w:rPr>
      </w:pPr>
      <w:r w:rsidRPr="00B6730B">
        <w:rPr>
          <w:rStyle w:val="FootnoteReference"/>
          <w:szCs w:val="18"/>
        </w:rPr>
        <w:footnoteRef/>
      </w:r>
      <w:r w:rsidRPr="00B6730B">
        <w:rPr>
          <w:szCs w:val="18"/>
        </w:rPr>
        <w:t xml:space="preserve"> Information gathered through consultation with national stakeholder (Deputy Director of the Migration Directorate, Competent Authority, 14 May 2018). In Bulgaria, laws and amendments have to pass two readings in the Parliament’s Plenary Session, and further changes and amendments can be introduced between the two readings. This was the case here and as such it excluded the process of conducting public consultations and discussions.  </w:t>
      </w:r>
    </w:p>
  </w:footnote>
  <w:footnote w:id="2">
    <w:p w14:paraId="6FD9E260" w14:textId="77777777" w:rsidR="00B30C6F" w:rsidRPr="00B6730B" w:rsidRDefault="00B30C6F" w:rsidP="00355CEC">
      <w:pPr>
        <w:pStyle w:val="FootnoteText"/>
        <w:rPr>
          <w:szCs w:val="18"/>
        </w:rPr>
      </w:pPr>
      <w:r w:rsidRPr="00B6730B">
        <w:rPr>
          <w:rStyle w:val="FootnoteReference"/>
          <w:szCs w:val="18"/>
        </w:rPr>
        <w:footnoteRef/>
      </w:r>
      <w:r w:rsidRPr="00B6730B">
        <w:rPr>
          <w:szCs w:val="18"/>
        </w:rPr>
        <w:t xml:space="preserve"> Bulgarian Citizenship Act (</w:t>
      </w:r>
      <w:r w:rsidRPr="00B6730B">
        <w:rPr>
          <w:i/>
          <w:szCs w:val="18"/>
        </w:rPr>
        <w:t>Закон за българското гражданство</w:t>
      </w:r>
      <w:r w:rsidRPr="00B6730B">
        <w:rPr>
          <w:szCs w:val="18"/>
        </w:rPr>
        <w:t xml:space="preserve">), SG N. 136, 18 November 1998 </w:t>
      </w:r>
      <w:hyperlink r:id="rId1" w:history="1">
        <w:r w:rsidRPr="00B6730B">
          <w:rPr>
            <w:rStyle w:val="Hyperlink"/>
            <w:szCs w:val="18"/>
          </w:rPr>
          <w:t>https://www.lex.bg/laws/ldoc/2134446592</w:t>
        </w:r>
      </w:hyperlink>
      <w:r w:rsidRPr="00B6730B">
        <w:rPr>
          <w:szCs w:val="18"/>
        </w:rPr>
        <w:t>, as subsequently amended and supplemented.</w:t>
      </w:r>
    </w:p>
  </w:footnote>
  <w:footnote w:id="3">
    <w:p w14:paraId="46A7608A" w14:textId="77777777" w:rsidR="00B6730B" w:rsidRPr="00B6730B" w:rsidRDefault="00B6730B" w:rsidP="00B6730B">
      <w:pPr>
        <w:pStyle w:val="FootnoteText"/>
        <w:rPr>
          <w:szCs w:val="18"/>
        </w:rPr>
      </w:pPr>
      <w:r w:rsidRPr="00B6730B">
        <w:rPr>
          <w:rStyle w:val="FootnoteReference"/>
          <w:szCs w:val="18"/>
        </w:rPr>
        <w:footnoteRef/>
      </w:r>
      <w:r w:rsidRPr="00B6730B">
        <w:rPr>
          <w:szCs w:val="18"/>
        </w:rPr>
        <w:t xml:space="preserve"> </w:t>
      </w:r>
      <w:r w:rsidRPr="00B6730B">
        <w:rPr>
          <w:color w:val="212121"/>
          <w:szCs w:val="18"/>
        </w:rPr>
        <w:t xml:space="preserve">Foreign Nationals Act of the Republic of Bulgaria </w:t>
      </w:r>
      <w:r w:rsidRPr="00B6730B">
        <w:rPr>
          <w:rStyle w:val="notranslate"/>
          <w:szCs w:val="18"/>
        </w:rPr>
        <w:t>(</w:t>
      </w:r>
      <w:r w:rsidRPr="00B6730B">
        <w:rPr>
          <w:rStyle w:val="notranslate"/>
          <w:i/>
          <w:szCs w:val="18"/>
        </w:rPr>
        <w:t>Закон за чужденците в Република България</w:t>
      </w:r>
      <w:r w:rsidRPr="00B6730B">
        <w:rPr>
          <w:rStyle w:val="notranslate"/>
          <w:szCs w:val="18"/>
        </w:rPr>
        <w:t xml:space="preserve">) </w:t>
      </w:r>
      <w:r w:rsidRPr="00B6730B">
        <w:rPr>
          <w:color w:val="212121"/>
          <w:szCs w:val="18"/>
        </w:rPr>
        <w:t xml:space="preserve">Prom. SG. No. 153 of 23 December 1998, last amended. and ext. SG. No. 24 of 16 March 2018, available at </w:t>
      </w:r>
      <w:hyperlink r:id="rId2" w:history="1">
        <w:r w:rsidRPr="00B6730B">
          <w:rPr>
            <w:rStyle w:val="Hyperlink"/>
            <w:szCs w:val="18"/>
          </w:rPr>
          <w:t>https://lex.bg/bg/laws/ldoc/2134455296</w:t>
        </w:r>
      </w:hyperlink>
      <w:r w:rsidRPr="00B6730B">
        <w:rPr>
          <w:color w:val="212121"/>
          <w:szCs w:val="18"/>
        </w:rPr>
        <w:t xml:space="preserve"> </w:t>
      </w:r>
      <w:r w:rsidRPr="00B6730B">
        <w:rPr>
          <w:szCs w:val="18"/>
        </w:rPr>
        <w:t>(FNA).</w:t>
      </w:r>
    </w:p>
  </w:footnote>
  <w:footnote w:id="4">
    <w:p w14:paraId="50A88664" w14:textId="77777777" w:rsidR="009E7A99" w:rsidRPr="00B6730B" w:rsidRDefault="009E7A99" w:rsidP="00355CEC">
      <w:pPr>
        <w:pStyle w:val="FootnoteText"/>
        <w:rPr>
          <w:szCs w:val="18"/>
        </w:rPr>
      </w:pPr>
      <w:r w:rsidRPr="00B6730B">
        <w:rPr>
          <w:rStyle w:val="FootnoteReference"/>
          <w:szCs w:val="18"/>
        </w:rPr>
        <w:footnoteRef/>
      </w:r>
      <w:r w:rsidRPr="00B6730B">
        <w:rPr>
          <w:szCs w:val="18"/>
        </w:rPr>
        <w:t xml:space="preserve"> According to their size, investments are divided into Class A, Class B and Priority Investment Projects. The minimum thresholds for Class A and B are set out in the Rules of Implementation. </w:t>
      </w:r>
    </w:p>
  </w:footnote>
  <w:footnote w:id="5">
    <w:p w14:paraId="09B66318" w14:textId="77777777" w:rsidR="00C843A5" w:rsidRPr="00B6730B" w:rsidRDefault="00C843A5" w:rsidP="00C843A5">
      <w:pPr>
        <w:pStyle w:val="FootnoteText"/>
        <w:rPr>
          <w:szCs w:val="18"/>
        </w:rPr>
      </w:pPr>
      <w:r w:rsidRPr="00B6730B">
        <w:rPr>
          <w:rStyle w:val="FootnoteReference"/>
          <w:szCs w:val="18"/>
        </w:rPr>
        <w:footnoteRef/>
      </w:r>
      <w:r w:rsidRPr="00B6730B">
        <w:rPr>
          <w:szCs w:val="18"/>
        </w:rPr>
        <w:t xml:space="preserve"> Law on Measures against Money Laundering (</w:t>
      </w:r>
      <w:r w:rsidRPr="00B6730B">
        <w:rPr>
          <w:i/>
          <w:szCs w:val="18"/>
        </w:rPr>
        <w:t>Закон за мерките срещу изпиране на пари</w:t>
      </w:r>
      <w:r w:rsidRPr="00B6730B">
        <w:rPr>
          <w:szCs w:val="18"/>
        </w:rPr>
        <w:t xml:space="preserve">), SG 85, 24 July 1998, available at </w:t>
      </w:r>
      <w:hyperlink r:id="rId3" w:history="1">
        <w:r w:rsidRPr="00B6730B">
          <w:rPr>
            <w:rStyle w:val="Hyperlink"/>
            <w:szCs w:val="18"/>
          </w:rPr>
          <w:t>https://www.lex.bg/bg/laws/ldoc/2134420482</w:t>
        </w:r>
      </w:hyperlink>
      <w:r w:rsidRPr="00B6730B">
        <w:rPr>
          <w:szCs w:val="18"/>
        </w:rPr>
        <w:t>.</w:t>
      </w:r>
    </w:p>
  </w:footnote>
  <w:footnote w:id="6">
    <w:p w14:paraId="6FE52DE0" w14:textId="535CE87D" w:rsidR="00B30C6F" w:rsidRPr="00B6730B" w:rsidRDefault="00B30C6F" w:rsidP="00355CEC">
      <w:pPr>
        <w:pStyle w:val="FootnoteText"/>
        <w:rPr>
          <w:szCs w:val="18"/>
        </w:rPr>
      </w:pPr>
      <w:r w:rsidRPr="00B6730B">
        <w:rPr>
          <w:rStyle w:val="FootnoteReference"/>
          <w:szCs w:val="18"/>
        </w:rPr>
        <w:footnoteRef/>
      </w:r>
      <w:r w:rsidRPr="00B6730B">
        <w:rPr>
          <w:szCs w:val="18"/>
        </w:rPr>
        <w:t xml:space="preserve"> The Agency is responsible for the accomplishment of the privatization process in the country and the supervision of the concluded privatization contracts. More information available at </w:t>
      </w:r>
      <w:hyperlink r:id="rId4" w:history="1">
        <w:r w:rsidRPr="00B6730B">
          <w:rPr>
            <w:rStyle w:val="Hyperlink"/>
            <w:szCs w:val="18"/>
          </w:rPr>
          <w:t>http://www.priv.government.bg/en/</w:t>
        </w:r>
      </w:hyperlink>
      <w:r w:rsidRPr="00B6730B">
        <w:rPr>
          <w:color w:val="403C37"/>
          <w:szCs w:val="18"/>
        </w:rPr>
        <w:t xml:space="preserve">. </w:t>
      </w:r>
    </w:p>
  </w:footnote>
  <w:footnote w:id="7">
    <w:p w14:paraId="7D968DBE" w14:textId="432E84F7" w:rsidR="00B30C6F" w:rsidRPr="00B6730B" w:rsidRDefault="00B30C6F" w:rsidP="00355CEC">
      <w:pPr>
        <w:pStyle w:val="FootnoteText"/>
        <w:rPr>
          <w:szCs w:val="18"/>
        </w:rPr>
      </w:pPr>
      <w:r w:rsidRPr="00B6730B">
        <w:rPr>
          <w:rStyle w:val="FootnoteReference"/>
          <w:szCs w:val="18"/>
        </w:rPr>
        <w:footnoteRef/>
      </w:r>
      <w:r w:rsidRPr="00B6730B">
        <w:rPr>
          <w:szCs w:val="18"/>
        </w:rPr>
        <w:t xml:space="preserve"> These options for residence permits are in addition to the short-stay visa-free option of three months (90 days) within each six-month period foreseen by Council Regulation (EC) No 539/2001 of 15 March 2001 listing the third countries whose nationals must be in possession of visas when crossing he external borders and those whose nationals are exempt from that requirement, OJ L 81, 21 March 2001, available at </w:t>
      </w:r>
      <w:hyperlink r:id="rId5" w:history="1">
        <w:r w:rsidRPr="00B6730B">
          <w:rPr>
            <w:rStyle w:val="Hyperlink"/>
            <w:szCs w:val="18"/>
          </w:rPr>
          <w:t>https://eur-lex.europa.eu/legal-content/EN/ALL/?uri=celex:32001R0539</w:t>
        </w:r>
      </w:hyperlink>
      <w:r w:rsidRPr="00B6730B">
        <w:rPr>
          <w:szCs w:val="18"/>
        </w:rPr>
        <w:t xml:space="preserve">. The Ministry of Foreign Affairs provides a specific list for Bulgaria on their site available at: </w:t>
      </w:r>
      <w:hyperlink r:id="rId6" w:history="1">
        <w:r w:rsidRPr="00B6730B">
          <w:rPr>
            <w:rStyle w:val="Hyperlink"/>
            <w:szCs w:val="18"/>
          </w:rPr>
          <w:t>http://www.mfa.bg/uploads/files/Consular/26_06_2017_Putuvane%20za%20Bg.pdf</w:t>
        </w:r>
      </w:hyperlink>
      <w:r w:rsidR="00B6730B">
        <w:rPr>
          <w:szCs w:val="18"/>
        </w:rPr>
        <w:t>.</w:t>
      </w:r>
    </w:p>
  </w:footnote>
  <w:footnote w:id="8">
    <w:p w14:paraId="13C8A9D6" w14:textId="77777777" w:rsidR="00B30C6F" w:rsidRPr="00B6730B" w:rsidRDefault="00B30C6F" w:rsidP="00355CEC">
      <w:pPr>
        <w:pStyle w:val="FootnoteText"/>
        <w:rPr>
          <w:szCs w:val="18"/>
        </w:rPr>
      </w:pPr>
      <w:r w:rsidRPr="00B6730B">
        <w:rPr>
          <w:rStyle w:val="FootnoteReference"/>
          <w:szCs w:val="18"/>
        </w:rPr>
        <w:footnoteRef/>
      </w:r>
      <w:r w:rsidRPr="00B6730B">
        <w:rPr>
          <w:szCs w:val="18"/>
        </w:rPr>
        <w:t xml:space="preserve"> For the purposes of this Report it should be clarified that the term “extended” does not imply that a previous permit was held by the applicant and that permit is being extended; rather, the term refers to the fact that the permit entitles the holder to an extended residence of up to one year.</w:t>
      </w:r>
    </w:p>
  </w:footnote>
  <w:footnote w:id="9">
    <w:p w14:paraId="0B130445" w14:textId="77777777" w:rsidR="00B30C6F" w:rsidRPr="00B6730B" w:rsidRDefault="00B30C6F" w:rsidP="00355CEC">
      <w:pPr>
        <w:pStyle w:val="FootnoteText"/>
        <w:rPr>
          <w:szCs w:val="18"/>
        </w:rPr>
      </w:pPr>
      <w:r w:rsidRPr="00B6730B">
        <w:rPr>
          <w:rStyle w:val="FootnoteReference"/>
          <w:szCs w:val="18"/>
        </w:rPr>
        <w:footnoteRef/>
      </w:r>
      <w:r w:rsidRPr="00B6730B">
        <w:rPr>
          <w:szCs w:val="18"/>
        </w:rPr>
        <w:t xml:space="preserve"> Website of the Ministry of Foreign Affairs, available at </w:t>
      </w:r>
      <w:hyperlink r:id="rId7" w:history="1">
        <w:r w:rsidRPr="00B6730B">
          <w:rPr>
            <w:rStyle w:val="Hyperlink"/>
            <w:szCs w:val="18"/>
          </w:rPr>
          <w:t>http://www.mfa.bg/en/pages/109/index.html</w:t>
        </w:r>
      </w:hyperlink>
      <w:r w:rsidRPr="00B6730B">
        <w:rPr>
          <w:szCs w:val="18"/>
        </w:rPr>
        <w:t xml:space="preserve"> and specific explanatory document on long-stay visas (D-type) available at </w:t>
      </w:r>
      <w:hyperlink r:id="rId8" w:history="1">
        <w:r w:rsidRPr="00B6730B">
          <w:rPr>
            <w:rStyle w:val="Hyperlink"/>
            <w:szCs w:val="18"/>
          </w:rPr>
          <w:t>http://www.mfa.bg/uploads/files/VISA%20(TYPE%20D%20VISA)(1).pdf</w:t>
        </w:r>
      </w:hyperlink>
      <w:r w:rsidRPr="00B6730B">
        <w:rPr>
          <w:szCs w:val="18"/>
        </w:rPr>
        <w:t xml:space="preserve">. </w:t>
      </w:r>
    </w:p>
  </w:footnote>
  <w:footnote w:id="10">
    <w:p w14:paraId="73977F4A" w14:textId="77777777" w:rsidR="00B30C6F" w:rsidRPr="00B6730B" w:rsidRDefault="00B30C6F" w:rsidP="00355CEC">
      <w:pPr>
        <w:pStyle w:val="FootnoteText"/>
        <w:rPr>
          <w:szCs w:val="18"/>
        </w:rPr>
      </w:pPr>
      <w:r w:rsidRPr="00B6730B">
        <w:rPr>
          <w:rStyle w:val="FootnoteReference"/>
          <w:szCs w:val="18"/>
        </w:rPr>
        <w:footnoteRef/>
      </w:r>
      <w:r w:rsidRPr="00B6730B">
        <w:rPr>
          <w:szCs w:val="18"/>
        </w:rPr>
        <w:t xml:space="preserve"> A person who is given a notarised letter of attorney by the applicant. </w:t>
      </w:r>
    </w:p>
  </w:footnote>
  <w:footnote w:id="11">
    <w:p w14:paraId="14283B4E" w14:textId="77777777" w:rsidR="00B30C6F" w:rsidRPr="00B6730B" w:rsidRDefault="00B30C6F" w:rsidP="00355CEC">
      <w:pPr>
        <w:pStyle w:val="FootnoteText"/>
        <w:rPr>
          <w:szCs w:val="18"/>
        </w:rPr>
      </w:pPr>
      <w:r w:rsidRPr="00B6730B">
        <w:rPr>
          <w:rStyle w:val="FootnoteReference"/>
          <w:szCs w:val="18"/>
        </w:rPr>
        <w:footnoteRef/>
      </w:r>
      <w:r w:rsidRPr="00B6730B">
        <w:rPr>
          <w:szCs w:val="18"/>
        </w:rPr>
        <w:t xml:space="preserve"> Council Regulation (EC) No 539/2001 of 15 March 2001 listing the third countries whose nationals must be in possession of visas when crossing he external borders and those whose nationals are exempt from that requirement, OJ L 81, 21 March 2001, available at </w:t>
      </w:r>
      <w:hyperlink r:id="rId9" w:history="1">
        <w:r w:rsidRPr="00B6730B">
          <w:rPr>
            <w:rStyle w:val="Hyperlink"/>
            <w:szCs w:val="18"/>
          </w:rPr>
          <w:t>https://eur-lex.europa.eu/legal-content/EN/ALL/?uri=celex:32001R0539</w:t>
        </w:r>
      </w:hyperlink>
      <w:r w:rsidRPr="00B6730B">
        <w:rPr>
          <w:szCs w:val="18"/>
        </w:rPr>
        <w:t xml:space="preserve">. </w:t>
      </w:r>
    </w:p>
  </w:footnote>
  <w:footnote w:id="12">
    <w:p w14:paraId="0F093E47" w14:textId="77777777" w:rsidR="00B30C6F" w:rsidRPr="00B6730B" w:rsidRDefault="00B30C6F" w:rsidP="00355CEC">
      <w:pPr>
        <w:pStyle w:val="FootnoteText"/>
        <w:rPr>
          <w:szCs w:val="18"/>
        </w:rPr>
      </w:pPr>
      <w:r w:rsidRPr="00B6730B">
        <w:rPr>
          <w:rStyle w:val="FootnoteReference"/>
          <w:szCs w:val="18"/>
        </w:rPr>
        <w:footnoteRef/>
      </w:r>
      <w:r w:rsidRPr="00B6730B">
        <w:rPr>
          <w:szCs w:val="18"/>
        </w:rPr>
        <w:t xml:space="preserve"> Article 14(1) Rules of Implementation. </w:t>
      </w:r>
    </w:p>
  </w:footnote>
  <w:footnote w:id="13">
    <w:p w14:paraId="4EF51D7C" w14:textId="700DA89C" w:rsidR="00301983" w:rsidRPr="00B6730B" w:rsidRDefault="00301983" w:rsidP="00355CEC">
      <w:pPr>
        <w:pStyle w:val="FootnoteText"/>
        <w:rPr>
          <w:szCs w:val="18"/>
        </w:rPr>
      </w:pPr>
      <w:r w:rsidRPr="00B6730B">
        <w:rPr>
          <w:rStyle w:val="FootnoteReference"/>
          <w:szCs w:val="18"/>
        </w:rPr>
        <w:footnoteRef/>
      </w:r>
      <w:r w:rsidRPr="00B6730B">
        <w:rPr>
          <w:szCs w:val="18"/>
        </w:rPr>
        <w:t xml:space="preserve"> Note that although Table 1 refers to type of investment to obtain citizenship this is due to the fact that the investor must hold a permanent residence permit and, for such purposes, s/he must comply with the requirements set in Article 25(1) items 6, 7, 8, 13 and 16 FNA.</w:t>
      </w:r>
    </w:p>
  </w:footnote>
  <w:footnote w:id="14">
    <w:p w14:paraId="1D8DF7D2" w14:textId="77777777" w:rsidR="00BB372D" w:rsidRPr="00B6730B" w:rsidRDefault="00BB372D" w:rsidP="00BB372D">
      <w:pPr>
        <w:pStyle w:val="FootnoteText"/>
        <w:rPr>
          <w:szCs w:val="18"/>
        </w:rPr>
      </w:pPr>
      <w:r w:rsidRPr="00B6730B">
        <w:rPr>
          <w:rStyle w:val="FootnoteReference"/>
          <w:szCs w:val="18"/>
        </w:rPr>
        <w:footnoteRef/>
      </w:r>
      <w:r w:rsidRPr="00B6730B">
        <w:rPr>
          <w:szCs w:val="18"/>
        </w:rPr>
        <w:t xml:space="preserve"> At the date of submission of the application for an extended residence permit under Art. 24, the third-country national or legal entity owned by the third-country national must have paid in full the amount of the investment to a licensed Bulgarian credit institution. If the real estate property is acquired with borrowed funds, the outstanding part of the loan must not exceed 25 per cent.</w:t>
      </w:r>
    </w:p>
  </w:footnote>
  <w:footnote w:id="15">
    <w:p w14:paraId="4D192398" w14:textId="77777777" w:rsidR="00BB372D" w:rsidRPr="00B6730B" w:rsidRDefault="00BB372D" w:rsidP="00355CEC">
      <w:pPr>
        <w:pStyle w:val="FootnoteText"/>
        <w:rPr>
          <w:szCs w:val="18"/>
        </w:rPr>
      </w:pPr>
      <w:r w:rsidRPr="00B6730B">
        <w:rPr>
          <w:rStyle w:val="FootnoteReference"/>
          <w:szCs w:val="18"/>
        </w:rPr>
        <w:footnoteRef/>
      </w:r>
      <w:r w:rsidRPr="00B6730B">
        <w:rPr>
          <w:szCs w:val="18"/>
        </w:rPr>
        <w:t xml:space="preserve"> According to the Investment Promotion Act, economically disadvantaged regions are such where:</w:t>
      </w:r>
    </w:p>
    <w:p w14:paraId="58774998" w14:textId="77777777" w:rsidR="00BB372D" w:rsidRPr="00B6730B" w:rsidRDefault="00BB372D" w:rsidP="00355CEC">
      <w:pPr>
        <w:pStyle w:val="FootnoteText"/>
        <w:rPr>
          <w:szCs w:val="18"/>
        </w:rPr>
      </w:pPr>
      <w:r w:rsidRPr="00B6730B">
        <w:rPr>
          <w:szCs w:val="18"/>
        </w:rPr>
        <w:t>(a) the unemployment rate is higher than the national average, or</w:t>
      </w:r>
    </w:p>
    <w:p w14:paraId="734F4214" w14:textId="77777777" w:rsidR="00BB372D" w:rsidRPr="00B6730B" w:rsidRDefault="00BB372D" w:rsidP="00355CEC">
      <w:pPr>
        <w:pStyle w:val="FootnoteText"/>
        <w:rPr>
          <w:szCs w:val="18"/>
        </w:rPr>
      </w:pPr>
      <w:r w:rsidRPr="00B6730B">
        <w:rPr>
          <w:szCs w:val="18"/>
        </w:rPr>
        <w:t>(b) the gross per-capita added value is lower than the country average.</w:t>
      </w:r>
    </w:p>
  </w:footnote>
  <w:footnote w:id="16">
    <w:p w14:paraId="3CB437F4" w14:textId="2B8AD709" w:rsidR="00B30C6F" w:rsidRPr="00B6730B" w:rsidRDefault="00B30C6F" w:rsidP="00355CEC">
      <w:pPr>
        <w:pStyle w:val="FootnoteText"/>
        <w:rPr>
          <w:szCs w:val="18"/>
        </w:rPr>
      </w:pPr>
      <w:r w:rsidRPr="00B6730B">
        <w:rPr>
          <w:rStyle w:val="FootnoteReference"/>
          <w:szCs w:val="18"/>
        </w:rPr>
        <w:footnoteRef/>
      </w:r>
      <w:r w:rsidRPr="00B6730B">
        <w:rPr>
          <w:szCs w:val="18"/>
        </w:rPr>
        <w:t xml:space="preserve"> Law on Measures against Money Laundering</w:t>
      </w:r>
      <w:r w:rsidR="00190E8E">
        <w:rPr>
          <w:szCs w:val="18"/>
        </w:rPr>
        <w:t xml:space="preserve"> (see footnote 5)</w:t>
      </w:r>
      <w:r w:rsidRPr="00B6730B">
        <w:rPr>
          <w:szCs w:val="18"/>
        </w:rPr>
        <w:t>.</w:t>
      </w:r>
    </w:p>
  </w:footnote>
  <w:footnote w:id="17">
    <w:p w14:paraId="5DB61CD1" w14:textId="77777777" w:rsidR="00B30C6F" w:rsidRPr="00B6730B" w:rsidRDefault="00B30C6F" w:rsidP="00355CEC">
      <w:pPr>
        <w:pStyle w:val="FootnoteText"/>
        <w:rPr>
          <w:szCs w:val="18"/>
        </w:rPr>
      </w:pPr>
      <w:r w:rsidRPr="00B6730B">
        <w:rPr>
          <w:rStyle w:val="FootnoteReference"/>
          <w:szCs w:val="18"/>
        </w:rPr>
        <w:footnoteRef/>
      </w:r>
      <w:r w:rsidRPr="00B6730B">
        <w:rPr>
          <w:szCs w:val="18"/>
        </w:rPr>
        <w:t xml:space="preserve"> For instance, Article 32 of the Bulgarian Constitution regulating the right to privacy only refers to citizens; Article 35(2) reserves the right to return to the country only to citizens; Article 36 provides that the study and use of the Bulgarian language shall be a right and an obligation of every Bulgarian citizen; Article 41(2) reserves to citizens the right to obtain information from state bodies and agencies on any matter of legitimate interest to them which is not a state or official secret and does not affect the rights of others; the right to elect state and local authorities and vote in referendums is also reserved to citizens under Article 42; etc.</w:t>
      </w:r>
    </w:p>
  </w:footnote>
  <w:footnote w:id="18">
    <w:p w14:paraId="2E7C6088" w14:textId="77777777" w:rsidR="00B30C6F" w:rsidRPr="00B6730B" w:rsidRDefault="00B30C6F" w:rsidP="00355CEC">
      <w:pPr>
        <w:pStyle w:val="FootnoteText"/>
        <w:rPr>
          <w:szCs w:val="18"/>
        </w:rPr>
      </w:pPr>
      <w:r w:rsidRPr="00B6730B">
        <w:rPr>
          <w:rStyle w:val="FootnoteReference"/>
          <w:szCs w:val="18"/>
        </w:rPr>
        <w:footnoteRef/>
      </w:r>
      <w:r w:rsidRPr="00B6730B">
        <w:rPr>
          <w:szCs w:val="18"/>
        </w:rPr>
        <w:t xml:space="preserve"> Constitution of the Republic of Bulgaria (</w:t>
      </w:r>
      <w:r w:rsidRPr="00B6730B">
        <w:rPr>
          <w:i/>
          <w:szCs w:val="18"/>
        </w:rPr>
        <w:t>Конституция на Република България</w:t>
      </w:r>
      <w:r w:rsidRPr="00B6730B">
        <w:rPr>
          <w:szCs w:val="18"/>
        </w:rPr>
        <w:t xml:space="preserve">) in force from 13.07.1991, available at: </w:t>
      </w:r>
      <w:hyperlink r:id="rId10" w:history="1">
        <w:r w:rsidRPr="00B6730B">
          <w:rPr>
            <w:rStyle w:val="Hyperlink"/>
            <w:szCs w:val="18"/>
          </w:rPr>
          <w:t>http://www.parliament.bg/bg/const</w:t>
        </w:r>
      </w:hyperlink>
      <w:r w:rsidRPr="00B6730B">
        <w:rPr>
          <w:szCs w:val="18"/>
        </w:rPr>
        <w:t xml:space="preserve">. </w:t>
      </w:r>
    </w:p>
  </w:footnote>
  <w:footnote w:id="19">
    <w:p w14:paraId="74901CBE" w14:textId="0BF0A694" w:rsidR="00B30C6F" w:rsidRPr="00B6730B" w:rsidRDefault="00B30C6F" w:rsidP="00355CEC">
      <w:pPr>
        <w:pStyle w:val="FootnoteText"/>
        <w:rPr>
          <w:szCs w:val="18"/>
        </w:rPr>
      </w:pPr>
      <w:r w:rsidRPr="00B6730B">
        <w:rPr>
          <w:rStyle w:val="FootnoteReference"/>
          <w:szCs w:val="18"/>
        </w:rPr>
        <w:footnoteRef/>
      </w:r>
      <w:r w:rsidRPr="00B6730B">
        <w:rPr>
          <w:szCs w:val="18"/>
        </w:rPr>
        <w:t xml:space="preserve"> Law on Taxation of Individuals (</w:t>
      </w:r>
      <w:r w:rsidRPr="00B6730B">
        <w:rPr>
          <w:i/>
          <w:szCs w:val="18"/>
        </w:rPr>
        <w:t>Закон за данъците върху доходите на физическите</w:t>
      </w:r>
      <w:r w:rsidRPr="00B6730B">
        <w:rPr>
          <w:szCs w:val="18"/>
        </w:rPr>
        <w:t xml:space="preserve"> </w:t>
      </w:r>
      <w:r w:rsidRPr="00B6730B">
        <w:rPr>
          <w:i/>
          <w:szCs w:val="18"/>
        </w:rPr>
        <w:t>лица</w:t>
      </w:r>
      <w:r w:rsidRPr="00B6730B">
        <w:rPr>
          <w:szCs w:val="18"/>
        </w:rPr>
        <w:t xml:space="preserve">), in force from 01.01.2007, available at: </w:t>
      </w:r>
      <w:hyperlink r:id="rId11" w:history="1">
        <w:r w:rsidR="00190E8E" w:rsidRPr="004535C9">
          <w:rPr>
            <w:rStyle w:val="Hyperlink"/>
            <w:szCs w:val="18"/>
          </w:rPr>
          <w:t>http://econ.bg/Но</w:t>
        </w:r>
        <w:bookmarkStart w:id="4" w:name="_GoBack"/>
        <w:bookmarkEnd w:id="4"/>
        <w:r w:rsidR="00190E8E" w:rsidRPr="004535C9">
          <w:rPr>
            <w:rStyle w:val="Hyperlink"/>
            <w:szCs w:val="18"/>
          </w:rPr>
          <w:t>рмативни-актове/ЗАКОН-ЗА-ДАНЪЦИТЕ-ВЪРХУ-ДОХОДИТЕ-НА-ФИЗИЧЕСКИТЕ-ЛИЦА_l.l_i.158067_at.5.html</w:t>
        </w:r>
      </w:hyperlink>
      <w:r w:rsidR="00190E8E">
        <w:rPr>
          <w:szCs w:val="18"/>
        </w:rPr>
        <w:t xml:space="preserve">. </w:t>
      </w:r>
    </w:p>
  </w:footnote>
  <w:footnote w:id="20">
    <w:p w14:paraId="0F9A89E0" w14:textId="5FA904E9" w:rsidR="00E944C7" w:rsidRPr="00B6730B" w:rsidRDefault="00E944C7">
      <w:pPr>
        <w:pStyle w:val="FootnoteText"/>
        <w:rPr>
          <w:szCs w:val="18"/>
        </w:rPr>
      </w:pPr>
      <w:r w:rsidRPr="00B6730B">
        <w:rPr>
          <w:rStyle w:val="FootnoteReference"/>
          <w:szCs w:val="18"/>
        </w:rPr>
        <w:footnoteRef/>
      </w:r>
      <w:r w:rsidRPr="00B6730B">
        <w:rPr>
          <w:szCs w:val="18"/>
        </w:rPr>
        <w:t xml:space="preserve"> </w:t>
      </w:r>
      <w:r w:rsidR="001E2F9F" w:rsidRPr="00B6730B">
        <w:rPr>
          <w:szCs w:val="18"/>
        </w:rPr>
        <w:t>Article 12 BCA requires that the applicant has (i) attained the age of 18 years; (ii) a permit for permanent residence or a permit for continuous residence in Bulgaria issued at least 5 years ago (a total of 10 years prior residence is required as in order to be granted permanent residence the third-country national must have continuously resided in Bulgaria for another 5 years (5 years of residence + 5 years of permanent residence)); (iii) not been sentenced by a Bulgarian court for a wilful crime prosecuted ex officio by the state, and is not subject to pending criminal proceedings for such an offence, unless the person has been rehabilitated; (iv) an income or occupation allowing him/her to subsist in Bulgaria; (v) a command of the Bulgarian language subject to verification according to a procedure established by an ordinance of the Minister of Education and Science; and (vi) been released from his/her previous citizenship or will be released therefrom at the time of acquisition of Bulgarian citizenship</w:t>
      </w:r>
      <w:r w:rsidRPr="00B6730B">
        <w:rPr>
          <w:szCs w:val="18"/>
        </w:rPr>
        <w:t>.</w:t>
      </w:r>
    </w:p>
  </w:footnote>
  <w:footnote w:id="21">
    <w:p w14:paraId="6D823A88" w14:textId="4E12F9FB" w:rsidR="00BB372D" w:rsidRPr="00B6730B" w:rsidRDefault="00BB372D" w:rsidP="00BB372D">
      <w:pPr>
        <w:pStyle w:val="FootnoteText"/>
        <w:rPr>
          <w:szCs w:val="18"/>
        </w:rPr>
      </w:pPr>
      <w:r w:rsidRPr="00B6730B">
        <w:rPr>
          <w:rStyle w:val="FootnoteReference"/>
          <w:szCs w:val="18"/>
        </w:rPr>
        <w:footnoteRef/>
      </w:r>
      <w:r w:rsidRPr="00B6730B">
        <w:rPr>
          <w:szCs w:val="18"/>
        </w:rPr>
        <w:t xml:space="preserve"> Monthly </w:t>
      </w:r>
      <w:r w:rsidRPr="00B6730B">
        <w:rPr>
          <w:color w:val="222222"/>
          <w:szCs w:val="18"/>
        </w:rPr>
        <w:t xml:space="preserve">Reports of the Bulgarian Citizenship and Bulgarians Abroad Committee </w:t>
      </w:r>
      <w:hyperlink r:id="rId12" w:history="1">
        <w:r w:rsidR="00B6730B" w:rsidRPr="00B6730B">
          <w:rPr>
            <w:rStyle w:val="Hyperlink"/>
            <w:szCs w:val="18"/>
          </w:rPr>
          <w:t>https://m.president.bg/en/cat106/mesechni-otcheti-grajdanstvo</w:t>
        </w:r>
      </w:hyperlink>
      <w:r w:rsidRPr="00B6730B">
        <w:rPr>
          <w:szCs w:val="18"/>
        </w:rPr>
        <w:t>.</w:t>
      </w:r>
      <w:r w:rsidR="00B6730B" w:rsidRPr="00B6730B">
        <w:rPr>
          <w:szCs w:val="18"/>
        </w:rPr>
        <w:t xml:space="preserve"> </w:t>
      </w:r>
    </w:p>
  </w:footnote>
  <w:footnote w:id="22">
    <w:p w14:paraId="2D258E51" w14:textId="77777777" w:rsidR="00B6730B" w:rsidRPr="00B6730B" w:rsidRDefault="00B6730B" w:rsidP="00B6730B">
      <w:pPr>
        <w:pStyle w:val="FootnoteText"/>
        <w:rPr>
          <w:szCs w:val="18"/>
        </w:rPr>
      </w:pPr>
      <w:r w:rsidRPr="00B6730B">
        <w:rPr>
          <w:rStyle w:val="FootnoteReference"/>
          <w:szCs w:val="18"/>
        </w:rPr>
        <w:footnoteRef/>
      </w:r>
      <w:r w:rsidRPr="00B6730B">
        <w:rPr>
          <w:szCs w:val="18"/>
        </w:rPr>
        <w:t xml:space="preserve"> </w:t>
      </w:r>
      <w:r w:rsidRPr="00B6730B">
        <w:rPr>
          <w:color w:val="222222"/>
          <w:szCs w:val="18"/>
        </w:rPr>
        <w:t xml:space="preserve">Report of the Bulgarian Citizenship Commission for the period 22 January - 31 December 2017, available at </w:t>
      </w:r>
      <w:hyperlink r:id="rId13" w:history="1">
        <w:r w:rsidRPr="00B6730B">
          <w:rPr>
            <w:rStyle w:val="Hyperlink"/>
            <w:szCs w:val="18"/>
          </w:rPr>
          <w:t>https://www.president.bg/docs/1516795436.pdf</w:t>
        </w:r>
      </w:hyperlink>
      <w:r w:rsidRPr="00B6730B">
        <w:rPr>
          <w:szCs w:val="18"/>
        </w:rPr>
        <w:t xml:space="preserve">. </w:t>
      </w:r>
    </w:p>
  </w:footnote>
  <w:footnote w:id="23">
    <w:p w14:paraId="3E6E7AE3" w14:textId="77777777" w:rsidR="00B30C6F" w:rsidRPr="00B6730B" w:rsidRDefault="00B30C6F" w:rsidP="00355CEC">
      <w:pPr>
        <w:pStyle w:val="FootnoteText"/>
        <w:snapToGrid w:val="0"/>
        <w:rPr>
          <w:szCs w:val="18"/>
        </w:rPr>
      </w:pPr>
      <w:r w:rsidRPr="00B6730B">
        <w:rPr>
          <w:rStyle w:val="FootnoteReference"/>
          <w:szCs w:val="18"/>
        </w:rPr>
        <w:footnoteRef/>
      </w:r>
      <w:r w:rsidRPr="00B6730B">
        <w:rPr>
          <w:szCs w:val="18"/>
        </w:rPr>
        <w:t xml:space="preserve"> Amendments to Ordinance No. 1 of 19 February 1999, State Gazette no. 102 of 22 December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C3010"/>
    <w:multiLevelType w:val="hybridMultilevel"/>
    <w:tmpl w:val="7646C5A4"/>
    <w:lvl w:ilvl="0" w:tplc="8D3CBA80">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F3E97"/>
    <w:multiLevelType w:val="hybridMultilevel"/>
    <w:tmpl w:val="B5DA121E"/>
    <w:lvl w:ilvl="0" w:tplc="33C8FFC6">
      <w:start w:val="1"/>
      <w:numFmt w:val="bullet"/>
      <w:lvlText w:val=""/>
      <w:lvlJc w:val="left"/>
      <w:pPr>
        <w:ind w:left="720" w:hanging="360"/>
      </w:pPr>
      <w:rPr>
        <w:rFonts w:ascii="Wingdings" w:hAnsi="Wingdings" w:hint="default"/>
        <w:color w:val="4472C4" w:themeColor="accent1"/>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BB76ACE"/>
    <w:multiLevelType w:val="hybridMultilevel"/>
    <w:tmpl w:val="45CE5756"/>
    <w:lvl w:ilvl="0" w:tplc="017EB476">
      <w:start w:val="1"/>
      <w:numFmt w:val="upperLetter"/>
      <w:lvlText w:val="%1."/>
      <w:lvlJc w:val="left"/>
      <w:pPr>
        <w:ind w:left="720" w:hanging="360"/>
      </w:pPr>
      <w:rPr>
        <w:sz w:val="22"/>
        <w:szCs w:val="22"/>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3" w15:restartNumberingAfterBreak="0">
    <w:nsid w:val="2BCB4D0A"/>
    <w:multiLevelType w:val="hybridMultilevel"/>
    <w:tmpl w:val="EE20057E"/>
    <w:lvl w:ilvl="0" w:tplc="E18A1DD8">
      <w:start w:val="1"/>
      <w:numFmt w:val="bullet"/>
      <w:lvlText w:val=""/>
      <w:lvlJc w:val="left"/>
      <w:pPr>
        <w:ind w:left="720" w:hanging="360"/>
      </w:pPr>
      <w:rPr>
        <w:rFonts w:ascii="Wingdings" w:hAnsi="Wingdings" w:hint="default"/>
        <w:color w:val="4472C4" w:themeColor="accen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2CA2E6A"/>
    <w:multiLevelType w:val="multilevel"/>
    <w:tmpl w:val="F3ACAD4C"/>
    <w:lvl w:ilvl="0">
      <w:start w:val="1"/>
      <w:numFmt w:val="lowerLetter"/>
      <w:lvlText w:val="%1)"/>
      <w:lvlJc w:val="left"/>
      <w:pPr>
        <w:ind w:left="425" w:hanging="425"/>
      </w:pPr>
      <w:rPr>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851"/>
        </w:tabs>
        <w:ind w:left="851" w:hanging="426"/>
      </w:pPr>
      <w:rPr>
        <w:rFonts w:ascii="Wingdings" w:hAnsi="Wingdings" w:hint="default"/>
        <w:color w:val="4472C4" w:themeColor="accent1"/>
      </w:rPr>
    </w:lvl>
    <w:lvl w:ilvl="2">
      <w:start w:val="1"/>
      <w:numFmt w:val="bullet"/>
      <w:lvlText w:val=""/>
      <w:lvlJc w:val="left"/>
      <w:pPr>
        <w:tabs>
          <w:tab w:val="num" w:pos="1276"/>
        </w:tabs>
        <w:ind w:left="1276" w:hanging="425"/>
      </w:pPr>
      <w:rPr>
        <w:rFonts w:ascii="Wingdings" w:hAnsi="Wingdings" w:hint="default"/>
        <w:color w:val="7AB800"/>
      </w:rPr>
    </w:lvl>
    <w:lvl w:ilvl="3">
      <w:start w:val="1"/>
      <w:numFmt w:val="bullet"/>
      <w:lvlText w:val=""/>
      <w:lvlJc w:val="left"/>
      <w:pPr>
        <w:tabs>
          <w:tab w:val="num" w:pos="1701"/>
        </w:tabs>
        <w:ind w:left="1701" w:hanging="425"/>
      </w:pPr>
      <w:rPr>
        <w:rFonts w:ascii="Symbol" w:hAnsi="Symbol" w:hint="default"/>
        <w:caps w:val="0"/>
        <w:strike w:val="0"/>
        <w:dstrike w:val="0"/>
        <w:vanish w:val="0"/>
        <w:webHidden w:val="0"/>
        <w:color w:val="7AB80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3BD22741"/>
    <w:multiLevelType w:val="multilevel"/>
    <w:tmpl w:val="9C94776A"/>
    <w:lvl w:ilvl="0">
      <w:start w:val="1"/>
      <w:numFmt w:val="bullet"/>
      <w:pStyle w:val="MMultilevel"/>
      <w:lvlText w:val=""/>
      <w:lvlJc w:val="left"/>
      <w:pPr>
        <w:ind w:left="425" w:hanging="425"/>
      </w:pPr>
      <w:rPr>
        <w:rFonts w:ascii="Wingdings" w:hAnsi="Wingdings" w:hint="default"/>
        <w:caps w:val="0"/>
        <w:strike w:val="0"/>
        <w:dstrike w:val="0"/>
        <w:vanish w:val="0"/>
        <w:color w:val="4472C4" w:themeColor="accent1"/>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851"/>
        </w:tabs>
        <w:ind w:left="851" w:hanging="426"/>
      </w:pPr>
      <w:rPr>
        <w:rFonts w:ascii="Wingdings" w:hAnsi="Wingdings" w:hint="default"/>
        <w:color w:val="4472C4" w:themeColor="accent1"/>
      </w:rPr>
    </w:lvl>
    <w:lvl w:ilvl="2">
      <w:start w:val="1"/>
      <w:numFmt w:val="bullet"/>
      <w:lvlText w:val=""/>
      <w:lvlJc w:val="left"/>
      <w:pPr>
        <w:tabs>
          <w:tab w:val="num" w:pos="1276"/>
        </w:tabs>
        <w:ind w:left="1276" w:hanging="425"/>
      </w:pPr>
      <w:rPr>
        <w:rFonts w:ascii="Wingdings" w:hAnsi="Wingdings" w:hint="default"/>
        <w:color w:val="7AB800"/>
      </w:rPr>
    </w:lvl>
    <w:lvl w:ilvl="3">
      <w:start w:val="1"/>
      <w:numFmt w:val="bullet"/>
      <w:lvlText w:val=""/>
      <w:lvlJc w:val="left"/>
      <w:pPr>
        <w:tabs>
          <w:tab w:val="num" w:pos="1701"/>
        </w:tabs>
        <w:ind w:left="1701" w:hanging="425"/>
      </w:pPr>
      <w:rPr>
        <w:rFonts w:ascii="Symbol" w:hAnsi="Symbol" w:hint="default"/>
        <w:caps w:val="0"/>
        <w:strike w:val="0"/>
        <w:dstrike w:val="0"/>
        <w:vanish w:val="0"/>
        <w:color w:val="7AB8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3C332433"/>
    <w:multiLevelType w:val="hybridMultilevel"/>
    <w:tmpl w:val="D3FCF3B2"/>
    <w:lvl w:ilvl="0" w:tplc="A37E999E">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7E67E02"/>
    <w:multiLevelType w:val="hybridMultilevel"/>
    <w:tmpl w:val="B3ECFA14"/>
    <w:lvl w:ilvl="0" w:tplc="E18A1DD8">
      <w:start w:val="1"/>
      <w:numFmt w:val="bullet"/>
      <w:lvlText w:val=""/>
      <w:lvlJc w:val="left"/>
      <w:pPr>
        <w:ind w:left="720" w:hanging="360"/>
      </w:pPr>
      <w:rPr>
        <w:rFonts w:ascii="Wingdings" w:hAnsi="Wingdings" w:hint="default"/>
        <w:color w:val="4472C4" w:themeColor="accen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0B0371C"/>
    <w:multiLevelType w:val="hybridMultilevel"/>
    <w:tmpl w:val="2A5C6A7A"/>
    <w:lvl w:ilvl="0" w:tplc="33C8FFC6">
      <w:start w:val="1"/>
      <w:numFmt w:val="bullet"/>
      <w:lvlText w:val=""/>
      <w:lvlJc w:val="left"/>
      <w:pPr>
        <w:ind w:left="720" w:hanging="360"/>
      </w:pPr>
      <w:rPr>
        <w:rFonts w:ascii="Wingdings" w:hAnsi="Wingdings" w:hint="default"/>
        <w:color w:val="4472C4" w:themeColor="accen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456123"/>
    <w:multiLevelType w:val="hybridMultilevel"/>
    <w:tmpl w:val="4B123FDE"/>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61123690"/>
    <w:multiLevelType w:val="multilevel"/>
    <w:tmpl w:val="77BCEA8A"/>
    <w:lvl w:ilvl="0">
      <w:start w:val="1"/>
      <w:numFmt w:val="lowerLetter"/>
      <w:lvlText w:val="%1)"/>
      <w:lvlJc w:val="left"/>
      <w:pPr>
        <w:ind w:left="425" w:hanging="425"/>
      </w:pPr>
      <w:rPr>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851"/>
        </w:tabs>
        <w:ind w:left="851" w:hanging="426"/>
      </w:pPr>
      <w:rPr>
        <w:rFonts w:ascii="Wingdings" w:hAnsi="Wingdings" w:hint="default"/>
        <w:color w:val="4472C4" w:themeColor="accent1"/>
      </w:rPr>
    </w:lvl>
    <w:lvl w:ilvl="2">
      <w:start w:val="1"/>
      <w:numFmt w:val="bullet"/>
      <w:lvlText w:val=""/>
      <w:lvlJc w:val="left"/>
      <w:pPr>
        <w:tabs>
          <w:tab w:val="num" w:pos="1276"/>
        </w:tabs>
        <w:ind w:left="1276" w:hanging="425"/>
      </w:pPr>
      <w:rPr>
        <w:rFonts w:ascii="Wingdings" w:hAnsi="Wingdings" w:hint="default"/>
        <w:color w:val="7AB800"/>
      </w:rPr>
    </w:lvl>
    <w:lvl w:ilvl="3">
      <w:start w:val="1"/>
      <w:numFmt w:val="bullet"/>
      <w:lvlText w:val=""/>
      <w:lvlJc w:val="left"/>
      <w:pPr>
        <w:tabs>
          <w:tab w:val="num" w:pos="1701"/>
        </w:tabs>
        <w:ind w:left="1701" w:hanging="425"/>
      </w:pPr>
      <w:rPr>
        <w:rFonts w:ascii="Symbol" w:hAnsi="Symbol" w:hint="default"/>
        <w:caps w:val="0"/>
        <w:strike w:val="0"/>
        <w:dstrike w:val="0"/>
        <w:vanish w:val="0"/>
        <w:webHidden w:val="0"/>
        <w:color w:val="7AB80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63CA1252"/>
    <w:multiLevelType w:val="multilevel"/>
    <w:tmpl w:val="D5D6F558"/>
    <w:lvl w:ilvl="0">
      <w:start w:val="1"/>
      <w:numFmt w:val="bullet"/>
      <w:lvlText w:val="-"/>
      <w:lvlJc w:val="left"/>
      <w:pPr>
        <w:ind w:left="425" w:hanging="425"/>
      </w:pPr>
      <w:rPr>
        <w:rFonts w:ascii="Times New Roman" w:eastAsia="Times New Roman" w:hAnsi="Times New Roman" w:cs="Times New Roman" w:hint="default"/>
        <w:caps w:val="0"/>
        <w:strike w:val="0"/>
        <w:dstrike w:val="0"/>
        <w:vanish w:val="0"/>
        <w:color w:val="FF00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851"/>
        </w:tabs>
        <w:ind w:left="851" w:hanging="426"/>
      </w:pPr>
      <w:rPr>
        <w:rFonts w:ascii="Wingdings" w:hAnsi="Wingdings" w:hint="default"/>
        <w:color w:val="4472C4" w:themeColor="accent1"/>
      </w:rPr>
    </w:lvl>
    <w:lvl w:ilvl="2">
      <w:start w:val="1"/>
      <w:numFmt w:val="bullet"/>
      <w:lvlText w:val=""/>
      <w:lvlJc w:val="left"/>
      <w:pPr>
        <w:tabs>
          <w:tab w:val="num" w:pos="1276"/>
        </w:tabs>
        <w:ind w:left="1276" w:hanging="425"/>
      </w:pPr>
      <w:rPr>
        <w:rFonts w:ascii="Wingdings" w:hAnsi="Wingdings" w:hint="default"/>
        <w:color w:val="7AB800"/>
      </w:rPr>
    </w:lvl>
    <w:lvl w:ilvl="3">
      <w:start w:val="1"/>
      <w:numFmt w:val="bullet"/>
      <w:lvlText w:val=""/>
      <w:lvlJc w:val="left"/>
      <w:pPr>
        <w:tabs>
          <w:tab w:val="num" w:pos="1701"/>
        </w:tabs>
        <w:ind w:left="1701" w:hanging="425"/>
      </w:pPr>
      <w:rPr>
        <w:rFonts w:ascii="Symbol" w:hAnsi="Symbol" w:hint="default"/>
        <w:caps w:val="0"/>
        <w:strike w:val="0"/>
        <w:dstrike w:val="0"/>
        <w:vanish w:val="0"/>
        <w:color w:val="FF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65D86943"/>
    <w:multiLevelType w:val="hybridMultilevel"/>
    <w:tmpl w:val="1854A86E"/>
    <w:lvl w:ilvl="0" w:tplc="E18A1DD8">
      <w:start w:val="1"/>
      <w:numFmt w:val="bullet"/>
      <w:lvlText w:val=""/>
      <w:lvlJc w:val="left"/>
      <w:pPr>
        <w:ind w:left="720" w:hanging="360"/>
      </w:pPr>
      <w:rPr>
        <w:rFonts w:ascii="Wingdings" w:hAnsi="Wingdings" w:hint="default"/>
        <w:color w:val="4472C4" w:themeColor="accent1"/>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3" w15:restartNumberingAfterBreak="0">
    <w:nsid w:val="775D0F3A"/>
    <w:multiLevelType w:val="hybridMultilevel"/>
    <w:tmpl w:val="4E64C5FE"/>
    <w:lvl w:ilvl="0" w:tplc="080C0015">
      <w:start w:val="1"/>
      <w:numFmt w:val="upperLetter"/>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4" w15:restartNumberingAfterBreak="0">
    <w:nsid w:val="7C620C38"/>
    <w:multiLevelType w:val="hybridMultilevel"/>
    <w:tmpl w:val="030883F0"/>
    <w:lvl w:ilvl="0" w:tplc="8FBEED3C">
      <w:start w:val="1"/>
      <w:numFmt w:val="bullet"/>
      <w:lvlText w:val=""/>
      <w:lvlJc w:val="left"/>
      <w:pPr>
        <w:ind w:left="720" w:hanging="360"/>
      </w:pPr>
      <w:rPr>
        <w:rFonts w:ascii="Wingdings" w:hAnsi="Wingdings" w:hint="default"/>
        <w:b w:val="0"/>
        <w:i w:val="0"/>
        <w:color w:val="4F81BD"/>
        <w:sz w:val="16"/>
        <w:u w:color="0000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5"/>
  </w:num>
  <w:num w:numId="4">
    <w:abstractNumId w:val="11"/>
  </w:num>
  <w:num w:numId="5">
    <w:abstractNumId w:val="5"/>
  </w:num>
  <w:num w:numId="6">
    <w:abstractNumId w:val="5"/>
  </w:num>
  <w:num w:numId="7">
    <w:abstractNumId w:val="5"/>
  </w:num>
  <w:num w:numId="8">
    <w:abstractNumId w:val="14"/>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7"/>
  </w:num>
  <w:num w:numId="20">
    <w:abstractNumId w:val="3"/>
  </w:num>
  <w:num w:numId="21">
    <w:abstractNumId w:val="5"/>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lvlOverride w:ilvl="2"/>
    <w:lvlOverride w:ilvl="3"/>
    <w:lvlOverride w:ilvl="4"/>
    <w:lvlOverride w:ilvl="5"/>
    <w:lvlOverride w:ilvl="6"/>
    <w:lvlOverride w:ilvl="7"/>
    <w:lvlOverride w:ilvl="8"/>
  </w:num>
  <w:num w:numId="24">
    <w:abstractNumId w:val="4"/>
    <w:lvlOverride w:ilvl="0">
      <w:startOverride w:val="1"/>
    </w:lvlOverride>
    <w:lvlOverride w:ilvl="1"/>
    <w:lvlOverride w:ilvl="2"/>
    <w:lvlOverride w:ilvl="3"/>
    <w:lvlOverride w:ilvl="4"/>
    <w:lvlOverride w:ilvl="5"/>
    <w:lvlOverride w:ilvl="6"/>
    <w:lvlOverride w:ilvl="7"/>
    <w:lvlOverride w:ilvl="8"/>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0"/>
  </w:num>
  <w:num w:numId="28">
    <w:abstractNumId w:val="9"/>
  </w:num>
  <w:num w:numId="29">
    <w:abstractNumId w:val="8"/>
  </w:num>
  <w:num w:numId="30">
    <w:abstractNumId w:val="6"/>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631E0"/>
    <w:rsid w:val="00040BAD"/>
    <w:rsid w:val="00047AFC"/>
    <w:rsid w:val="00075397"/>
    <w:rsid w:val="00086D5D"/>
    <w:rsid w:val="00097265"/>
    <w:rsid w:val="00097A0B"/>
    <w:rsid w:val="000A02C3"/>
    <w:rsid w:val="000A78AA"/>
    <w:rsid w:val="000B7E3D"/>
    <w:rsid w:val="000D1BD8"/>
    <w:rsid w:val="00124983"/>
    <w:rsid w:val="001658AF"/>
    <w:rsid w:val="001706E0"/>
    <w:rsid w:val="00175421"/>
    <w:rsid w:val="001821A0"/>
    <w:rsid w:val="00182D84"/>
    <w:rsid w:val="001907D6"/>
    <w:rsid w:val="00190E8E"/>
    <w:rsid w:val="001C1EC2"/>
    <w:rsid w:val="001E2F9F"/>
    <w:rsid w:val="001F000D"/>
    <w:rsid w:val="00202E5C"/>
    <w:rsid w:val="002076D1"/>
    <w:rsid w:val="002177B9"/>
    <w:rsid w:val="00221B2C"/>
    <w:rsid w:val="00233030"/>
    <w:rsid w:val="00242966"/>
    <w:rsid w:val="00242B36"/>
    <w:rsid w:val="00283E4C"/>
    <w:rsid w:val="002843F4"/>
    <w:rsid w:val="002A19BF"/>
    <w:rsid w:val="002A4AFA"/>
    <w:rsid w:val="002C1205"/>
    <w:rsid w:val="00301983"/>
    <w:rsid w:val="00337204"/>
    <w:rsid w:val="00355CEC"/>
    <w:rsid w:val="003631E0"/>
    <w:rsid w:val="00374AA8"/>
    <w:rsid w:val="003855DE"/>
    <w:rsid w:val="00394321"/>
    <w:rsid w:val="003C0A49"/>
    <w:rsid w:val="003C7EE3"/>
    <w:rsid w:val="00402C02"/>
    <w:rsid w:val="00420FA3"/>
    <w:rsid w:val="0043070B"/>
    <w:rsid w:val="00435360"/>
    <w:rsid w:val="00475A9A"/>
    <w:rsid w:val="004924A1"/>
    <w:rsid w:val="00496156"/>
    <w:rsid w:val="004C00F6"/>
    <w:rsid w:val="00544A72"/>
    <w:rsid w:val="00561E43"/>
    <w:rsid w:val="005A5A18"/>
    <w:rsid w:val="005C3B7A"/>
    <w:rsid w:val="005C656C"/>
    <w:rsid w:val="0064391F"/>
    <w:rsid w:val="00670C44"/>
    <w:rsid w:val="006A753A"/>
    <w:rsid w:val="006B2B9E"/>
    <w:rsid w:val="006F73EB"/>
    <w:rsid w:val="0075336C"/>
    <w:rsid w:val="007675A8"/>
    <w:rsid w:val="007E1B72"/>
    <w:rsid w:val="007F55FF"/>
    <w:rsid w:val="008221C6"/>
    <w:rsid w:val="0083617B"/>
    <w:rsid w:val="00874228"/>
    <w:rsid w:val="008B20B0"/>
    <w:rsid w:val="008B4623"/>
    <w:rsid w:val="00970E49"/>
    <w:rsid w:val="0098444D"/>
    <w:rsid w:val="009935EE"/>
    <w:rsid w:val="009A0565"/>
    <w:rsid w:val="009D5200"/>
    <w:rsid w:val="009E7A99"/>
    <w:rsid w:val="009F3F0F"/>
    <w:rsid w:val="009F4356"/>
    <w:rsid w:val="00A24DDA"/>
    <w:rsid w:val="00A60422"/>
    <w:rsid w:val="00A65170"/>
    <w:rsid w:val="00A659EF"/>
    <w:rsid w:val="00A747B9"/>
    <w:rsid w:val="00AA6129"/>
    <w:rsid w:val="00AB332A"/>
    <w:rsid w:val="00AE5747"/>
    <w:rsid w:val="00B30C6F"/>
    <w:rsid w:val="00B6730B"/>
    <w:rsid w:val="00BB330B"/>
    <w:rsid w:val="00BB372D"/>
    <w:rsid w:val="00BD3053"/>
    <w:rsid w:val="00BE1D11"/>
    <w:rsid w:val="00C0098E"/>
    <w:rsid w:val="00C20061"/>
    <w:rsid w:val="00C20337"/>
    <w:rsid w:val="00C33E27"/>
    <w:rsid w:val="00C612FB"/>
    <w:rsid w:val="00C718A7"/>
    <w:rsid w:val="00C82619"/>
    <w:rsid w:val="00C843A5"/>
    <w:rsid w:val="00C84AA1"/>
    <w:rsid w:val="00CA08A8"/>
    <w:rsid w:val="00CB5535"/>
    <w:rsid w:val="00CD68E8"/>
    <w:rsid w:val="00CD7CE4"/>
    <w:rsid w:val="00CE11B6"/>
    <w:rsid w:val="00CE290E"/>
    <w:rsid w:val="00CF0C98"/>
    <w:rsid w:val="00D00CD2"/>
    <w:rsid w:val="00D075DB"/>
    <w:rsid w:val="00D137C2"/>
    <w:rsid w:val="00D13CB5"/>
    <w:rsid w:val="00D1659F"/>
    <w:rsid w:val="00D40111"/>
    <w:rsid w:val="00D44DAF"/>
    <w:rsid w:val="00D555F5"/>
    <w:rsid w:val="00D8511D"/>
    <w:rsid w:val="00D907E1"/>
    <w:rsid w:val="00DB2D4A"/>
    <w:rsid w:val="00DE1D39"/>
    <w:rsid w:val="00E623C5"/>
    <w:rsid w:val="00E77F5C"/>
    <w:rsid w:val="00E83287"/>
    <w:rsid w:val="00E944C7"/>
    <w:rsid w:val="00EA548B"/>
    <w:rsid w:val="00EB5A40"/>
    <w:rsid w:val="00EC4F75"/>
    <w:rsid w:val="00EE5E39"/>
    <w:rsid w:val="00EF4E4C"/>
    <w:rsid w:val="00F020DB"/>
    <w:rsid w:val="00F062E7"/>
    <w:rsid w:val="00F16530"/>
    <w:rsid w:val="00F30040"/>
    <w:rsid w:val="00F434CE"/>
    <w:rsid w:val="00F44604"/>
    <w:rsid w:val="00F54C9E"/>
    <w:rsid w:val="00F67382"/>
    <w:rsid w:val="00FA46EA"/>
    <w:rsid w:val="00FB3518"/>
    <w:rsid w:val="00FE6650"/>
    <w:rsid w:val="00FE7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D221B"/>
  <w15:docId w15:val="{BC4F381B-2D8D-44E1-90AD-8F4E10C28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18"/>
        <w:szCs w:val="18"/>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720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H1nonumb">
    <w:name w:val="M H 1 no numb"/>
    <w:basedOn w:val="Normal"/>
    <w:next w:val="Normal"/>
    <w:link w:val="MH1nonumbChar"/>
    <w:qFormat/>
    <w:rsid w:val="003631E0"/>
    <w:pPr>
      <w:keepNext/>
      <w:pageBreakBefore/>
      <w:spacing w:after="480" w:line="240" w:lineRule="auto"/>
      <w:jc w:val="both"/>
      <w:outlineLvl w:val="0"/>
    </w:pPr>
    <w:rPr>
      <w:rFonts w:ascii="Century Gothic" w:eastAsia="Times New Roman" w:hAnsi="Century Gothic"/>
      <w:b/>
      <w:caps/>
      <w:sz w:val="24"/>
      <w:szCs w:val="24"/>
      <w:lang w:eastAsia="fr-FR"/>
    </w:rPr>
  </w:style>
  <w:style w:type="character" w:customStyle="1" w:styleId="MH1nonumbChar">
    <w:name w:val="M H 1 no numb Char"/>
    <w:link w:val="MH1nonumb"/>
    <w:rsid w:val="003631E0"/>
    <w:rPr>
      <w:rFonts w:ascii="Century Gothic" w:eastAsia="Times New Roman" w:hAnsi="Century Gothic"/>
      <w:b/>
      <w:caps/>
      <w:sz w:val="24"/>
      <w:szCs w:val="24"/>
      <w:lang w:eastAsia="fr-FR"/>
    </w:rPr>
  </w:style>
  <w:style w:type="paragraph" w:customStyle="1" w:styleId="MMultilevel">
    <w:name w:val="M Multilevel"/>
    <w:basedOn w:val="Normal"/>
    <w:link w:val="MMultilevelChar"/>
    <w:qFormat/>
    <w:rsid w:val="002A4AFA"/>
    <w:pPr>
      <w:widowControl w:val="0"/>
      <w:numPr>
        <w:numId w:val="1"/>
      </w:numPr>
      <w:spacing w:after="0" w:line="240" w:lineRule="auto"/>
      <w:jc w:val="both"/>
    </w:pPr>
    <w:rPr>
      <w:rFonts w:eastAsia="Times New Roman"/>
      <w:bCs/>
      <w:sz w:val="22"/>
      <w:szCs w:val="22"/>
      <w:lang w:val="en-US" w:eastAsia="fr-FR"/>
    </w:rPr>
  </w:style>
  <w:style w:type="character" w:customStyle="1" w:styleId="MMultilevelChar">
    <w:name w:val="M Multilevel Char"/>
    <w:link w:val="MMultilevel"/>
    <w:rsid w:val="002A4AFA"/>
    <w:rPr>
      <w:rFonts w:eastAsia="Times New Roman"/>
      <w:bCs/>
      <w:sz w:val="22"/>
      <w:szCs w:val="22"/>
      <w:lang w:val="en-US" w:eastAsia="fr-FR"/>
    </w:rPr>
  </w:style>
  <w:style w:type="paragraph" w:styleId="ListParagraph">
    <w:name w:val="List Paragraph"/>
    <w:aliases w:val="Heading 2_sj,List Paragraph1"/>
    <w:basedOn w:val="Normal"/>
    <w:uiPriority w:val="34"/>
    <w:qFormat/>
    <w:rsid w:val="001907D6"/>
    <w:pPr>
      <w:ind w:left="720"/>
      <w:contextualSpacing/>
    </w:pPr>
  </w:style>
  <w:style w:type="paragraph" w:customStyle="1" w:styleId="MBT">
    <w:name w:val="M BT"/>
    <w:basedOn w:val="Normal"/>
    <w:link w:val="MBTChar"/>
    <w:qFormat/>
    <w:rsid w:val="002177B9"/>
    <w:pPr>
      <w:widowControl w:val="0"/>
      <w:spacing w:after="0" w:line="240" w:lineRule="auto"/>
      <w:jc w:val="both"/>
    </w:pPr>
    <w:rPr>
      <w:rFonts w:eastAsia="Times New Roman"/>
      <w:bCs/>
      <w:sz w:val="22"/>
      <w:szCs w:val="22"/>
      <w:lang w:val="en-US" w:eastAsia="fr-FR"/>
    </w:rPr>
  </w:style>
  <w:style w:type="character" w:customStyle="1" w:styleId="MBTChar">
    <w:name w:val="M BT Char"/>
    <w:link w:val="MBT"/>
    <w:rsid w:val="002177B9"/>
    <w:rPr>
      <w:rFonts w:eastAsia="Times New Roman"/>
      <w:bCs/>
      <w:sz w:val="22"/>
      <w:szCs w:val="22"/>
      <w:lang w:val="en-US" w:eastAsia="fr-FR"/>
    </w:rPr>
  </w:style>
  <w:style w:type="character" w:styleId="CommentReference">
    <w:name w:val="annotation reference"/>
    <w:basedOn w:val="DefaultParagraphFont"/>
    <w:uiPriority w:val="99"/>
    <w:semiHidden/>
    <w:unhideWhenUsed/>
    <w:rsid w:val="00C20061"/>
    <w:rPr>
      <w:sz w:val="16"/>
      <w:szCs w:val="16"/>
    </w:rPr>
  </w:style>
  <w:style w:type="paragraph" w:styleId="CommentText">
    <w:name w:val="annotation text"/>
    <w:basedOn w:val="Normal"/>
    <w:link w:val="CommentTextChar"/>
    <w:uiPriority w:val="99"/>
    <w:unhideWhenUsed/>
    <w:rsid w:val="00C20061"/>
    <w:pPr>
      <w:spacing w:line="240" w:lineRule="auto"/>
    </w:pPr>
    <w:rPr>
      <w:sz w:val="20"/>
      <w:szCs w:val="20"/>
    </w:rPr>
  </w:style>
  <w:style w:type="character" w:customStyle="1" w:styleId="CommentTextChar">
    <w:name w:val="Comment Text Char"/>
    <w:basedOn w:val="DefaultParagraphFont"/>
    <w:link w:val="CommentText"/>
    <w:uiPriority w:val="99"/>
    <w:rsid w:val="00C20061"/>
    <w:rPr>
      <w:sz w:val="20"/>
      <w:szCs w:val="20"/>
    </w:rPr>
  </w:style>
  <w:style w:type="paragraph" w:styleId="CommentSubject">
    <w:name w:val="annotation subject"/>
    <w:basedOn w:val="CommentText"/>
    <w:next w:val="CommentText"/>
    <w:link w:val="CommentSubjectChar"/>
    <w:uiPriority w:val="99"/>
    <w:semiHidden/>
    <w:unhideWhenUsed/>
    <w:rsid w:val="00C20061"/>
    <w:rPr>
      <w:b/>
      <w:bCs/>
    </w:rPr>
  </w:style>
  <w:style w:type="character" w:customStyle="1" w:styleId="CommentSubjectChar">
    <w:name w:val="Comment Subject Char"/>
    <w:basedOn w:val="CommentTextChar"/>
    <w:link w:val="CommentSubject"/>
    <w:uiPriority w:val="99"/>
    <w:semiHidden/>
    <w:rsid w:val="00C20061"/>
    <w:rPr>
      <w:b/>
      <w:bCs/>
      <w:sz w:val="20"/>
      <w:szCs w:val="20"/>
    </w:rPr>
  </w:style>
  <w:style w:type="paragraph" w:styleId="BalloonText">
    <w:name w:val="Balloon Text"/>
    <w:basedOn w:val="Normal"/>
    <w:link w:val="BalloonTextChar"/>
    <w:uiPriority w:val="99"/>
    <w:semiHidden/>
    <w:unhideWhenUsed/>
    <w:rsid w:val="00C20061"/>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C20061"/>
    <w:rPr>
      <w:rFonts w:ascii="Segoe UI" w:hAnsi="Segoe UI" w:cs="Segoe UI"/>
    </w:rPr>
  </w:style>
  <w:style w:type="paragraph" w:styleId="Revision">
    <w:name w:val="Revision"/>
    <w:hidden/>
    <w:uiPriority w:val="99"/>
    <w:semiHidden/>
    <w:rsid w:val="00040BAD"/>
    <w:pPr>
      <w:spacing w:after="0" w:line="240" w:lineRule="auto"/>
    </w:pPr>
  </w:style>
  <w:style w:type="character" w:styleId="Hyperlink">
    <w:name w:val="Hyperlink"/>
    <w:uiPriority w:val="99"/>
    <w:unhideWhenUsed/>
    <w:rsid w:val="003855DE"/>
    <w:rPr>
      <w:color w:val="0000FF"/>
      <w:u w:val="single"/>
    </w:rPr>
  </w:style>
  <w:style w:type="character" w:customStyle="1" w:styleId="FootnoteTextChar">
    <w:name w:val="Footnote Text Char"/>
    <w:aliases w:val="M Footnotes Char"/>
    <w:basedOn w:val="DefaultParagraphFont"/>
    <w:link w:val="FootnoteText"/>
    <w:uiPriority w:val="99"/>
    <w:locked/>
    <w:rsid w:val="003855DE"/>
    <w:rPr>
      <w:szCs w:val="22"/>
      <w:lang w:eastAsia="fr-FR"/>
    </w:rPr>
  </w:style>
  <w:style w:type="paragraph" w:styleId="FootnoteText">
    <w:name w:val="footnote text"/>
    <w:aliases w:val="M Footnotes"/>
    <w:basedOn w:val="Normal"/>
    <w:link w:val="FootnoteTextChar"/>
    <w:uiPriority w:val="99"/>
    <w:unhideWhenUsed/>
    <w:qFormat/>
    <w:rsid w:val="003855DE"/>
    <w:pPr>
      <w:spacing w:after="0" w:line="240" w:lineRule="auto"/>
      <w:jc w:val="both"/>
    </w:pPr>
    <w:rPr>
      <w:szCs w:val="22"/>
      <w:lang w:eastAsia="fr-FR"/>
    </w:rPr>
  </w:style>
  <w:style w:type="character" w:customStyle="1" w:styleId="FootnoteTextChar1">
    <w:name w:val="Footnote Text Char1"/>
    <w:basedOn w:val="DefaultParagraphFont"/>
    <w:uiPriority w:val="99"/>
    <w:semiHidden/>
    <w:rsid w:val="003855DE"/>
    <w:rPr>
      <w:sz w:val="20"/>
      <w:szCs w:val="20"/>
    </w:rPr>
  </w:style>
  <w:style w:type="character" w:styleId="FootnoteReference">
    <w:name w:val="footnote reference"/>
    <w:aliases w:val="Footnote Refernece,BVI fnr,callout,16 Point,Superscript 6 Point,Odwołanie przypisu,Footnote symbol,Footnote Reference Number,Footnote Reference Superscript,SUPERS,Times 10 Point,Exposant 3 Point,Ref,de nota al pie,number,FR,F, BVI fnr"/>
    <w:uiPriority w:val="99"/>
    <w:unhideWhenUsed/>
    <w:qFormat/>
    <w:rsid w:val="003855DE"/>
    <w:rPr>
      <w:vertAlign w:val="superscript"/>
    </w:rPr>
  </w:style>
  <w:style w:type="character" w:customStyle="1" w:styleId="notranslate">
    <w:name w:val="notranslate"/>
    <w:basedOn w:val="DefaultParagraphFont"/>
    <w:rsid w:val="003855DE"/>
  </w:style>
  <w:style w:type="paragraph" w:styleId="PlainText">
    <w:name w:val="Plain Text"/>
    <w:basedOn w:val="Normal"/>
    <w:link w:val="PlainTextChar"/>
    <w:uiPriority w:val="99"/>
    <w:semiHidden/>
    <w:unhideWhenUsed/>
    <w:rsid w:val="00221B2C"/>
    <w:pPr>
      <w:spacing w:after="0" w:line="240" w:lineRule="auto"/>
    </w:pPr>
    <w:rPr>
      <w:rFonts w:ascii="Courier New" w:eastAsia="Times New Roman" w:hAnsi="Courier New" w:cs="Courier New"/>
      <w:sz w:val="20"/>
      <w:szCs w:val="20"/>
      <w:lang w:val="bg-BG" w:eastAsia="bg-BG"/>
    </w:rPr>
  </w:style>
  <w:style w:type="character" w:customStyle="1" w:styleId="PlainTextChar">
    <w:name w:val="Plain Text Char"/>
    <w:basedOn w:val="DefaultParagraphFont"/>
    <w:link w:val="PlainText"/>
    <w:uiPriority w:val="99"/>
    <w:semiHidden/>
    <w:rsid w:val="00221B2C"/>
    <w:rPr>
      <w:rFonts w:ascii="Courier New" w:eastAsia="Times New Roman" w:hAnsi="Courier New" w:cs="Courier New"/>
      <w:sz w:val="20"/>
      <w:szCs w:val="20"/>
      <w:lang w:val="bg-BG" w:eastAsia="bg-BG"/>
    </w:rPr>
  </w:style>
  <w:style w:type="paragraph" w:styleId="NormalWeb">
    <w:name w:val="Normal (Web)"/>
    <w:basedOn w:val="Normal"/>
    <w:uiPriority w:val="99"/>
    <w:semiHidden/>
    <w:unhideWhenUsed/>
    <w:rsid w:val="002A19BF"/>
    <w:pPr>
      <w:spacing w:before="100" w:beforeAutospacing="1" w:after="100" w:afterAutospacing="1" w:line="240" w:lineRule="auto"/>
    </w:pPr>
    <w:rPr>
      <w:rFonts w:ascii="Arial" w:eastAsia="Times New Roman" w:hAnsi="Arial" w:cs="Arial"/>
      <w:color w:val="000066"/>
      <w:sz w:val="20"/>
      <w:szCs w:val="20"/>
      <w:lang w:eastAsia="fr-FR"/>
    </w:rPr>
  </w:style>
  <w:style w:type="paragraph" w:styleId="HTMLPreformatted">
    <w:name w:val="HTML Preformatted"/>
    <w:basedOn w:val="Normal"/>
    <w:link w:val="HTMLPreformattedChar"/>
    <w:uiPriority w:val="99"/>
    <w:unhideWhenUsed/>
    <w:rsid w:val="00C009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C0098E"/>
    <w:rPr>
      <w:rFonts w:ascii="Courier New" w:eastAsia="Times New Roman" w:hAnsi="Courier New" w:cs="Courier New"/>
      <w:sz w:val="20"/>
      <w:szCs w:val="20"/>
      <w:lang w:eastAsia="en-GB"/>
    </w:rPr>
  </w:style>
  <w:style w:type="character" w:customStyle="1" w:styleId="Heading1Char">
    <w:name w:val="Heading 1 Char"/>
    <w:basedOn w:val="DefaultParagraphFont"/>
    <w:link w:val="Heading1"/>
    <w:uiPriority w:val="9"/>
    <w:rsid w:val="00337204"/>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658AF"/>
    <w:pPr>
      <w:spacing w:after="0" w:line="240" w:lineRule="auto"/>
    </w:pPr>
    <w:rPr>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874228"/>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284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Caption">
    <w:name w:val="caption"/>
    <w:basedOn w:val="Normal"/>
    <w:next w:val="Normal"/>
    <w:uiPriority w:val="35"/>
    <w:unhideWhenUsed/>
    <w:qFormat/>
    <w:rsid w:val="00BD3053"/>
    <w:pPr>
      <w:spacing w:after="200" w:line="240" w:lineRule="auto"/>
    </w:pPr>
    <w:rPr>
      <w:i/>
      <w:iCs/>
      <w:color w:val="44546A" w:themeColor="text2"/>
    </w:rPr>
  </w:style>
  <w:style w:type="paragraph" w:styleId="Header">
    <w:name w:val="header"/>
    <w:basedOn w:val="Normal"/>
    <w:link w:val="HeaderChar"/>
    <w:uiPriority w:val="99"/>
    <w:unhideWhenUsed/>
    <w:rsid w:val="00FB3518"/>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3518"/>
  </w:style>
  <w:style w:type="paragraph" w:styleId="Footer">
    <w:name w:val="footer"/>
    <w:basedOn w:val="Normal"/>
    <w:link w:val="FooterChar"/>
    <w:uiPriority w:val="99"/>
    <w:unhideWhenUsed/>
    <w:rsid w:val="00FB3518"/>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35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1646">
      <w:bodyDiv w:val="1"/>
      <w:marLeft w:val="0"/>
      <w:marRight w:val="0"/>
      <w:marTop w:val="0"/>
      <w:marBottom w:val="0"/>
      <w:divBdr>
        <w:top w:val="none" w:sz="0" w:space="0" w:color="auto"/>
        <w:left w:val="none" w:sz="0" w:space="0" w:color="auto"/>
        <w:bottom w:val="none" w:sz="0" w:space="0" w:color="auto"/>
        <w:right w:val="none" w:sz="0" w:space="0" w:color="auto"/>
      </w:divBdr>
    </w:div>
    <w:div w:id="78985264">
      <w:bodyDiv w:val="1"/>
      <w:marLeft w:val="0"/>
      <w:marRight w:val="0"/>
      <w:marTop w:val="0"/>
      <w:marBottom w:val="0"/>
      <w:divBdr>
        <w:top w:val="none" w:sz="0" w:space="0" w:color="auto"/>
        <w:left w:val="none" w:sz="0" w:space="0" w:color="auto"/>
        <w:bottom w:val="none" w:sz="0" w:space="0" w:color="auto"/>
        <w:right w:val="none" w:sz="0" w:space="0" w:color="auto"/>
      </w:divBdr>
    </w:div>
    <w:div w:id="247663373">
      <w:bodyDiv w:val="1"/>
      <w:marLeft w:val="0"/>
      <w:marRight w:val="0"/>
      <w:marTop w:val="0"/>
      <w:marBottom w:val="0"/>
      <w:divBdr>
        <w:top w:val="none" w:sz="0" w:space="0" w:color="auto"/>
        <w:left w:val="none" w:sz="0" w:space="0" w:color="auto"/>
        <w:bottom w:val="none" w:sz="0" w:space="0" w:color="auto"/>
        <w:right w:val="none" w:sz="0" w:space="0" w:color="auto"/>
      </w:divBdr>
    </w:div>
    <w:div w:id="262878702">
      <w:bodyDiv w:val="1"/>
      <w:marLeft w:val="0"/>
      <w:marRight w:val="0"/>
      <w:marTop w:val="0"/>
      <w:marBottom w:val="0"/>
      <w:divBdr>
        <w:top w:val="none" w:sz="0" w:space="0" w:color="auto"/>
        <w:left w:val="none" w:sz="0" w:space="0" w:color="auto"/>
        <w:bottom w:val="none" w:sz="0" w:space="0" w:color="auto"/>
        <w:right w:val="none" w:sz="0" w:space="0" w:color="auto"/>
      </w:divBdr>
    </w:div>
    <w:div w:id="338427947">
      <w:bodyDiv w:val="1"/>
      <w:marLeft w:val="0"/>
      <w:marRight w:val="0"/>
      <w:marTop w:val="0"/>
      <w:marBottom w:val="0"/>
      <w:divBdr>
        <w:top w:val="none" w:sz="0" w:space="0" w:color="auto"/>
        <w:left w:val="none" w:sz="0" w:space="0" w:color="auto"/>
        <w:bottom w:val="none" w:sz="0" w:space="0" w:color="auto"/>
        <w:right w:val="none" w:sz="0" w:space="0" w:color="auto"/>
      </w:divBdr>
    </w:div>
    <w:div w:id="466237451">
      <w:bodyDiv w:val="1"/>
      <w:marLeft w:val="0"/>
      <w:marRight w:val="0"/>
      <w:marTop w:val="0"/>
      <w:marBottom w:val="0"/>
      <w:divBdr>
        <w:top w:val="none" w:sz="0" w:space="0" w:color="auto"/>
        <w:left w:val="none" w:sz="0" w:space="0" w:color="auto"/>
        <w:bottom w:val="none" w:sz="0" w:space="0" w:color="auto"/>
        <w:right w:val="none" w:sz="0" w:space="0" w:color="auto"/>
      </w:divBdr>
    </w:div>
    <w:div w:id="524826573">
      <w:bodyDiv w:val="1"/>
      <w:marLeft w:val="0"/>
      <w:marRight w:val="0"/>
      <w:marTop w:val="0"/>
      <w:marBottom w:val="0"/>
      <w:divBdr>
        <w:top w:val="none" w:sz="0" w:space="0" w:color="auto"/>
        <w:left w:val="none" w:sz="0" w:space="0" w:color="auto"/>
        <w:bottom w:val="none" w:sz="0" w:space="0" w:color="auto"/>
        <w:right w:val="none" w:sz="0" w:space="0" w:color="auto"/>
      </w:divBdr>
    </w:div>
    <w:div w:id="536704336">
      <w:bodyDiv w:val="1"/>
      <w:marLeft w:val="0"/>
      <w:marRight w:val="0"/>
      <w:marTop w:val="0"/>
      <w:marBottom w:val="0"/>
      <w:divBdr>
        <w:top w:val="none" w:sz="0" w:space="0" w:color="auto"/>
        <w:left w:val="none" w:sz="0" w:space="0" w:color="auto"/>
        <w:bottom w:val="none" w:sz="0" w:space="0" w:color="auto"/>
        <w:right w:val="none" w:sz="0" w:space="0" w:color="auto"/>
      </w:divBdr>
    </w:div>
    <w:div w:id="538712809">
      <w:bodyDiv w:val="1"/>
      <w:marLeft w:val="0"/>
      <w:marRight w:val="0"/>
      <w:marTop w:val="0"/>
      <w:marBottom w:val="0"/>
      <w:divBdr>
        <w:top w:val="none" w:sz="0" w:space="0" w:color="auto"/>
        <w:left w:val="none" w:sz="0" w:space="0" w:color="auto"/>
        <w:bottom w:val="none" w:sz="0" w:space="0" w:color="auto"/>
        <w:right w:val="none" w:sz="0" w:space="0" w:color="auto"/>
      </w:divBdr>
    </w:div>
    <w:div w:id="558056741">
      <w:bodyDiv w:val="1"/>
      <w:marLeft w:val="0"/>
      <w:marRight w:val="0"/>
      <w:marTop w:val="0"/>
      <w:marBottom w:val="0"/>
      <w:divBdr>
        <w:top w:val="none" w:sz="0" w:space="0" w:color="auto"/>
        <w:left w:val="none" w:sz="0" w:space="0" w:color="auto"/>
        <w:bottom w:val="none" w:sz="0" w:space="0" w:color="auto"/>
        <w:right w:val="none" w:sz="0" w:space="0" w:color="auto"/>
      </w:divBdr>
    </w:div>
    <w:div w:id="654335087">
      <w:bodyDiv w:val="1"/>
      <w:marLeft w:val="0"/>
      <w:marRight w:val="0"/>
      <w:marTop w:val="0"/>
      <w:marBottom w:val="0"/>
      <w:divBdr>
        <w:top w:val="none" w:sz="0" w:space="0" w:color="auto"/>
        <w:left w:val="none" w:sz="0" w:space="0" w:color="auto"/>
        <w:bottom w:val="none" w:sz="0" w:space="0" w:color="auto"/>
        <w:right w:val="none" w:sz="0" w:space="0" w:color="auto"/>
      </w:divBdr>
    </w:div>
    <w:div w:id="677847101">
      <w:bodyDiv w:val="1"/>
      <w:marLeft w:val="0"/>
      <w:marRight w:val="0"/>
      <w:marTop w:val="0"/>
      <w:marBottom w:val="0"/>
      <w:divBdr>
        <w:top w:val="none" w:sz="0" w:space="0" w:color="auto"/>
        <w:left w:val="none" w:sz="0" w:space="0" w:color="auto"/>
        <w:bottom w:val="none" w:sz="0" w:space="0" w:color="auto"/>
        <w:right w:val="none" w:sz="0" w:space="0" w:color="auto"/>
      </w:divBdr>
    </w:div>
    <w:div w:id="691957506">
      <w:bodyDiv w:val="1"/>
      <w:marLeft w:val="0"/>
      <w:marRight w:val="0"/>
      <w:marTop w:val="0"/>
      <w:marBottom w:val="0"/>
      <w:divBdr>
        <w:top w:val="none" w:sz="0" w:space="0" w:color="auto"/>
        <w:left w:val="none" w:sz="0" w:space="0" w:color="auto"/>
        <w:bottom w:val="none" w:sz="0" w:space="0" w:color="auto"/>
        <w:right w:val="none" w:sz="0" w:space="0" w:color="auto"/>
      </w:divBdr>
    </w:div>
    <w:div w:id="837424526">
      <w:bodyDiv w:val="1"/>
      <w:marLeft w:val="0"/>
      <w:marRight w:val="0"/>
      <w:marTop w:val="0"/>
      <w:marBottom w:val="0"/>
      <w:divBdr>
        <w:top w:val="none" w:sz="0" w:space="0" w:color="auto"/>
        <w:left w:val="none" w:sz="0" w:space="0" w:color="auto"/>
        <w:bottom w:val="none" w:sz="0" w:space="0" w:color="auto"/>
        <w:right w:val="none" w:sz="0" w:space="0" w:color="auto"/>
      </w:divBdr>
    </w:div>
    <w:div w:id="844441729">
      <w:bodyDiv w:val="1"/>
      <w:marLeft w:val="0"/>
      <w:marRight w:val="0"/>
      <w:marTop w:val="0"/>
      <w:marBottom w:val="0"/>
      <w:divBdr>
        <w:top w:val="none" w:sz="0" w:space="0" w:color="auto"/>
        <w:left w:val="none" w:sz="0" w:space="0" w:color="auto"/>
        <w:bottom w:val="none" w:sz="0" w:space="0" w:color="auto"/>
        <w:right w:val="none" w:sz="0" w:space="0" w:color="auto"/>
      </w:divBdr>
    </w:div>
    <w:div w:id="846677376">
      <w:bodyDiv w:val="1"/>
      <w:marLeft w:val="0"/>
      <w:marRight w:val="0"/>
      <w:marTop w:val="0"/>
      <w:marBottom w:val="0"/>
      <w:divBdr>
        <w:top w:val="none" w:sz="0" w:space="0" w:color="auto"/>
        <w:left w:val="none" w:sz="0" w:space="0" w:color="auto"/>
        <w:bottom w:val="none" w:sz="0" w:space="0" w:color="auto"/>
        <w:right w:val="none" w:sz="0" w:space="0" w:color="auto"/>
      </w:divBdr>
    </w:div>
    <w:div w:id="1005741099">
      <w:bodyDiv w:val="1"/>
      <w:marLeft w:val="0"/>
      <w:marRight w:val="0"/>
      <w:marTop w:val="0"/>
      <w:marBottom w:val="0"/>
      <w:divBdr>
        <w:top w:val="none" w:sz="0" w:space="0" w:color="auto"/>
        <w:left w:val="none" w:sz="0" w:space="0" w:color="auto"/>
        <w:bottom w:val="none" w:sz="0" w:space="0" w:color="auto"/>
        <w:right w:val="none" w:sz="0" w:space="0" w:color="auto"/>
      </w:divBdr>
    </w:div>
    <w:div w:id="1065492981">
      <w:bodyDiv w:val="1"/>
      <w:marLeft w:val="0"/>
      <w:marRight w:val="0"/>
      <w:marTop w:val="0"/>
      <w:marBottom w:val="0"/>
      <w:divBdr>
        <w:top w:val="none" w:sz="0" w:space="0" w:color="auto"/>
        <w:left w:val="none" w:sz="0" w:space="0" w:color="auto"/>
        <w:bottom w:val="none" w:sz="0" w:space="0" w:color="auto"/>
        <w:right w:val="none" w:sz="0" w:space="0" w:color="auto"/>
      </w:divBdr>
    </w:div>
    <w:div w:id="1089080593">
      <w:bodyDiv w:val="1"/>
      <w:marLeft w:val="0"/>
      <w:marRight w:val="0"/>
      <w:marTop w:val="0"/>
      <w:marBottom w:val="0"/>
      <w:divBdr>
        <w:top w:val="none" w:sz="0" w:space="0" w:color="auto"/>
        <w:left w:val="none" w:sz="0" w:space="0" w:color="auto"/>
        <w:bottom w:val="none" w:sz="0" w:space="0" w:color="auto"/>
        <w:right w:val="none" w:sz="0" w:space="0" w:color="auto"/>
      </w:divBdr>
    </w:div>
    <w:div w:id="1282687464">
      <w:bodyDiv w:val="1"/>
      <w:marLeft w:val="0"/>
      <w:marRight w:val="0"/>
      <w:marTop w:val="0"/>
      <w:marBottom w:val="0"/>
      <w:divBdr>
        <w:top w:val="none" w:sz="0" w:space="0" w:color="auto"/>
        <w:left w:val="none" w:sz="0" w:space="0" w:color="auto"/>
        <w:bottom w:val="none" w:sz="0" w:space="0" w:color="auto"/>
        <w:right w:val="none" w:sz="0" w:space="0" w:color="auto"/>
      </w:divBdr>
    </w:div>
    <w:div w:id="1377510023">
      <w:bodyDiv w:val="1"/>
      <w:marLeft w:val="0"/>
      <w:marRight w:val="0"/>
      <w:marTop w:val="0"/>
      <w:marBottom w:val="0"/>
      <w:divBdr>
        <w:top w:val="none" w:sz="0" w:space="0" w:color="auto"/>
        <w:left w:val="none" w:sz="0" w:space="0" w:color="auto"/>
        <w:bottom w:val="none" w:sz="0" w:space="0" w:color="auto"/>
        <w:right w:val="none" w:sz="0" w:space="0" w:color="auto"/>
      </w:divBdr>
    </w:div>
    <w:div w:id="1412191798">
      <w:bodyDiv w:val="1"/>
      <w:marLeft w:val="0"/>
      <w:marRight w:val="0"/>
      <w:marTop w:val="0"/>
      <w:marBottom w:val="0"/>
      <w:divBdr>
        <w:top w:val="none" w:sz="0" w:space="0" w:color="auto"/>
        <w:left w:val="none" w:sz="0" w:space="0" w:color="auto"/>
        <w:bottom w:val="none" w:sz="0" w:space="0" w:color="auto"/>
        <w:right w:val="none" w:sz="0" w:space="0" w:color="auto"/>
      </w:divBdr>
    </w:div>
    <w:div w:id="1542936354">
      <w:bodyDiv w:val="1"/>
      <w:marLeft w:val="0"/>
      <w:marRight w:val="0"/>
      <w:marTop w:val="0"/>
      <w:marBottom w:val="0"/>
      <w:divBdr>
        <w:top w:val="none" w:sz="0" w:space="0" w:color="auto"/>
        <w:left w:val="none" w:sz="0" w:space="0" w:color="auto"/>
        <w:bottom w:val="none" w:sz="0" w:space="0" w:color="auto"/>
        <w:right w:val="none" w:sz="0" w:space="0" w:color="auto"/>
      </w:divBdr>
    </w:div>
    <w:div w:id="1720474852">
      <w:bodyDiv w:val="1"/>
      <w:marLeft w:val="0"/>
      <w:marRight w:val="0"/>
      <w:marTop w:val="0"/>
      <w:marBottom w:val="0"/>
      <w:divBdr>
        <w:top w:val="none" w:sz="0" w:space="0" w:color="auto"/>
        <w:left w:val="none" w:sz="0" w:space="0" w:color="auto"/>
        <w:bottom w:val="none" w:sz="0" w:space="0" w:color="auto"/>
        <w:right w:val="none" w:sz="0" w:space="0" w:color="auto"/>
      </w:divBdr>
    </w:div>
    <w:div w:id="1754350687">
      <w:bodyDiv w:val="1"/>
      <w:marLeft w:val="0"/>
      <w:marRight w:val="0"/>
      <w:marTop w:val="0"/>
      <w:marBottom w:val="0"/>
      <w:divBdr>
        <w:top w:val="none" w:sz="0" w:space="0" w:color="auto"/>
        <w:left w:val="none" w:sz="0" w:space="0" w:color="auto"/>
        <w:bottom w:val="none" w:sz="0" w:space="0" w:color="auto"/>
        <w:right w:val="none" w:sz="0" w:space="0" w:color="auto"/>
      </w:divBdr>
    </w:div>
    <w:div w:id="1779255842">
      <w:bodyDiv w:val="1"/>
      <w:marLeft w:val="0"/>
      <w:marRight w:val="0"/>
      <w:marTop w:val="0"/>
      <w:marBottom w:val="0"/>
      <w:divBdr>
        <w:top w:val="none" w:sz="0" w:space="0" w:color="auto"/>
        <w:left w:val="none" w:sz="0" w:space="0" w:color="auto"/>
        <w:bottom w:val="none" w:sz="0" w:space="0" w:color="auto"/>
        <w:right w:val="none" w:sz="0" w:space="0" w:color="auto"/>
      </w:divBdr>
    </w:div>
    <w:div w:id="2003196458">
      <w:bodyDiv w:val="1"/>
      <w:marLeft w:val="0"/>
      <w:marRight w:val="0"/>
      <w:marTop w:val="0"/>
      <w:marBottom w:val="0"/>
      <w:divBdr>
        <w:top w:val="none" w:sz="0" w:space="0" w:color="auto"/>
        <w:left w:val="none" w:sz="0" w:space="0" w:color="auto"/>
        <w:bottom w:val="none" w:sz="0" w:space="0" w:color="auto"/>
        <w:right w:val="none" w:sz="0" w:space="0" w:color="auto"/>
      </w:divBdr>
    </w:div>
    <w:div w:id="208818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mfa.bg/uploads/files/VISA%20(TYPE%20D%20VISA)(1).pdf" TargetMode="External"/><Relationship Id="rId13" Type="http://schemas.openxmlformats.org/officeDocument/2006/relationships/hyperlink" Target="https://www.president.bg/docs/1516795436.pdf" TargetMode="External"/><Relationship Id="rId3" Type="http://schemas.openxmlformats.org/officeDocument/2006/relationships/hyperlink" Target="https://www.lex.bg/bg/laws/ldoc/2134420482" TargetMode="External"/><Relationship Id="rId7" Type="http://schemas.openxmlformats.org/officeDocument/2006/relationships/hyperlink" Target="http://www.mfa.bg/en/pages/109/index.html" TargetMode="External"/><Relationship Id="rId12" Type="http://schemas.openxmlformats.org/officeDocument/2006/relationships/hyperlink" Target="https://m.president.bg/en/cat106/mesechni-otcheti-grajdanstvo" TargetMode="External"/><Relationship Id="rId2" Type="http://schemas.openxmlformats.org/officeDocument/2006/relationships/hyperlink" Target="https://lex.bg/bg/laws/ldoc/2134455296" TargetMode="External"/><Relationship Id="rId1" Type="http://schemas.openxmlformats.org/officeDocument/2006/relationships/hyperlink" Target="https://www.lex.bg/laws/ldoc/2134446592" TargetMode="External"/><Relationship Id="rId6" Type="http://schemas.openxmlformats.org/officeDocument/2006/relationships/hyperlink" Target="http://www.mfa.bg/uploads/files/Consular/26_06_2017_Putuvane%20za%20Bg.pdf" TargetMode="External"/><Relationship Id="rId11" Type="http://schemas.openxmlformats.org/officeDocument/2006/relationships/hyperlink" Target="http://econ.bg/&#1053;&#1086;&#1088;&#1084;&#1072;&#1090;&#1080;&#1074;&#1085;&#1080;-&#1072;&#1082;&#1090;&#1086;&#1074;&#1077;/&#1047;&#1040;&#1050;&#1054;&#1053;-&#1047;&#1040;-&#1044;&#1040;&#1053;&#1066;&#1062;&#1048;&#1058;&#1045;-&#1042;&#1066;&#1056;&#1061;&#1059;-&#1044;&#1054;&#1061;&#1054;&#1044;&#1048;&#1058;&#1045;-&#1053;&#1040;-&#1060;&#1048;&#1047;&#1048;&#1063;&#1045;&#1057;&#1050;&#1048;&#1058;&#1045;-&#1051;&#1048;&#1062;&#1040;_l.l_i.158067_at.5.html" TargetMode="External"/><Relationship Id="rId5" Type="http://schemas.openxmlformats.org/officeDocument/2006/relationships/hyperlink" Target="https://eur-lex.europa.eu/legal-content/EN/ALL/?uri=celex:32001R0539" TargetMode="External"/><Relationship Id="rId10" Type="http://schemas.openxmlformats.org/officeDocument/2006/relationships/hyperlink" Target="http://www.parliament.bg/bg/const" TargetMode="External"/><Relationship Id="rId4" Type="http://schemas.openxmlformats.org/officeDocument/2006/relationships/hyperlink" Target="http://www.priv.government.bg/en/" TargetMode="External"/><Relationship Id="rId9" Type="http://schemas.openxmlformats.org/officeDocument/2006/relationships/hyperlink" Target="https://eur-lex.europa.eu/legal-content/EN/ALL/?uri=celex:32001R05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688A4-D8C8-4D47-9D56-83641FB03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2926</Words>
  <Characters>16093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Microsoft Office User</cp:lastModifiedBy>
  <cp:revision>3</cp:revision>
  <cp:lastPrinted>2018-08-03T09:47:00Z</cp:lastPrinted>
  <dcterms:created xsi:type="dcterms:W3CDTF">2018-08-08T13:23:00Z</dcterms:created>
  <dcterms:modified xsi:type="dcterms:W3CDTF">2018-08-08T13:45:00Z</dcterms:modified>
</cp:coreProperties>
</file>